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Waste, Residue and Effluent Disposal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Segregate at the bench. Cyanide-bearing, acidic, and general waste go to separate containers - never the same 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put acidic waste into a cyanide-bearing waste container. That is an HCN generation event in a closed bin.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Neutralise acidic waste before it goes to any shared route, and confirm with pH paper.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Route cyanide-bearing effluent to the designated destination only. Confirm where that is before the first litre is generated.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Label every waste container with contents, hazard and accumulation start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Log the waste in the register as it is generated, not from memory at the end of the week.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Keep solid residues from testwork until the result is reported and accepted, then dispose.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Arrange removal at the set interval and file the disposal documentation.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JSEA-PRO-MET-206-007 Met Lab Waste, Residue and Effluent Disposal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