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Investigation and Correction of Mass Balance Discrepancy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discrepancy is real - re-run the balance before investigating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Work outwards from the largest term. A one per cent error on feed tonnes is bigger than a fifty per cent error on a minor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Test each input against its source in turn - weightometer against a survey, assay against a duplicate, inventory against a physical count.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instruments involved against their last calibration, and the laboratory against its QA/QC data for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Look for a real loss before concluding it is a measurement error - carbon or resin carry-over, a solution loss, an unrecorded movement.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investigation and the conclusion, including what was ruled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Correct the cause. Only restate a number where the source document supports the restatement.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discrepancy, the cause and the correction with the period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JSEA-PRO-MET-202-012 Investigation and Correction of Mass Balance Discrepancy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