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Preparation of Standard and Working Solutions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HM-MMM-WHS-FRM-031-R03-JSEA-PRO-MET-205-017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Check the balance verification is current before weighing any standard.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Use only reagents in date and correctly labelled. A reagent of unknown age does not make a standard.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Weigh the primary standard on the analytical balance and record the exact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Dissolve and make up to the mark in a volumetric flask at the reference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Standardise the solution against a primary standard where the method requires it, and record the factor.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Label every solution with its identity, concentration, preparation date, expiry and the preparer's initials. An unlabelled solution is discarded, not guessed at.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Store light-sensitive solutions such as silver nitrate in amber bottles away from light.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preparation in the solution register and re-standardise at the set interval.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JSEA-PRO-MET-205-017 Preparation of Standard and Working Solutions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