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Met Lab Chemical Receipt, Storage and Decanting</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JSEA-PRO-MET-206-001</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SWI-PRO-MET-206-001  Met Lab Chemical Receipt, Storage and Decanting</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HM-PRC-VXX-PRO210  Metallurgical Laboratory Facility, Safety and Quality</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206  Met Lab - Facility, Safety and Quality</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Safety-critical</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JSEA-PRO-MET-206-001 in HM-MMM-WHS-REG-JSEA-PRO-updated_10, tab JSEA_MET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met lab chemical receipt, storage and decanting in 206  Met Lab - Facility, Safety and Quality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Receive, store and decant laboratory chemicals safely and in a way that keeps them fit for use.</w:t>
      </w:r>
    </w:p>
    <w:p>
      <w:pPr>
        <w:pStyle w:val="ListParagraph"/>
        <w:numPr>
          <w:ilvl w:val="0"/>
          <w:numId w:val="1"/>
        </w:numPr>
        <w:spacing w:after="60" w:line="245"/>
      </w:pPr>
      <w:r>
        <w:rPr>
          <w:rFonts w:ascii="Calibri" w:cs="Calibri" w:eastAsia="Calibri" w:hAnsi="Calibri"/>
          <w:sz w:val="17"/>
          <w:szCs w:val="17"/>
        </w:rPr>
        <w:t xml:space="preserve">The laboratory holds concentrated acids, cyanide and oxidisers in one room. Segregation and labelling are the controls.</w:t>
      </w:r>
    </w:p>
    <w:p>
      <w:pPr>
        <w:spacing w:after="60" w:before="0" w:line="245"/>
      </w:pPr>
      <w:r>
        <w:rPr>
          <w:rFonts w:ascii="Calibri" w:cs="Calibri" w:eastAsia="Calibri" w:hAnsi="Calibri"/>
          <w:sz w:val="17"/>
          <w:szCs w:val="17"/>
        </w:rPr>
        <w:t xml:space="preserve">It is read with work instruction SWI-PRO-MET-206-001, which gives the step-by-step method, and with HM-PRC-VXX-PRO210 Metallurgical Laboratory Facility, Safety and Quality,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Check the delivery against the order and the safety data sheet before accepting it.</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Contact with sulphuric or hydrochloric acid - burn to skin or eyes</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Reject anything with a damaged container, an illegible label or no safety data sheet.</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Manual handling injury from carrying sample buckets, containers and composite drums</w:t>
            </w:r>
          </w:p>
          <w:p>
            <w:pPr>
              <w:spacing w:after="0" w:line="235"/>
            </w:pPr>
            <w:r>
              <w:rPr>
                <w:rFonts w:ascii="Calibri" w:cs="Calibri" w:eastAsia="Calibri" w:hAnsi="Calibri"/>
                <w:sz w:val="15"/>
                <w:szCs w:val="15"/>
              </w:rPr>
              <w:t xml:space="preserve">Cross-contamination from a container or cutter not cleaned between points</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Sample volume kept to the schedule - no over-filling. Two-person lift or a trolley for composite containers above the site manual handling limit. Route cleared before lifting.</w:t>
            </w:r>
          </w:p>
          <w:p>
            <w:pPr>
              <w:spacing w:after="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3.  Log the chemical into the register with quantity, batch, date received and expiry.</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Contact with sulphuric or hydrochloric acid - burn to skin or eyes</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4.  Store to the correct cabinet. Acids away from cyanide, oxidisers away from flammables, and nothing on the floor.</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Contact with sulphuric or hydrochloric acid - burn to skin or eyes</w:t>
            </w:r>
          </w:p>
          <w:p>
            <w:pPr>
              <w:spacing w:after="30" w:line="235"/>
            </w:pPr>
            <w:r>
              <w:rPr>
                <w:rFonts w:ascii="Calibri" w:cs="Calibri" w:eastAsia="Calibri" w:hAnsi="Calibri"/>
                <w:sz w:val="15"/>
                <w:szCs w:val="15"/>
              </w:rPr>
              <w:t xml:space="preserve">Hydrogen cyanide gas released at the open sample point</w:t>
            </w:r>
          </w:p>
          <w:p>
            <w:pPr>
              <w:spacing w:after="0" w:line="235"/>
            </w:pPr>
            <w:r>
              <w:rPr>
                <w:rFonts w:ascii="Calibri" w:cs="Calibri" w:eastAsia="Calibri" w:hAnsi="Calibri"/>
                <w:sz w:val="15"/>
                <w:szCs w:val="15"/>
              </w:rPr>
              <w:t xml:space="preserve">Inhalation of acid fume or reagent vapour at the bench</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0" w:line="235"/>
            </w:pPr>
            <w:r>
              <w:rPr>
                <w:rFonts w:ascii="Calibri" w:cs="Calibri" w:eastAsia="Calibri" w:hAnsi="Calibri"/>
                <w:sz w:val="15"/>
                <w:szCs w:val="15"/>
              </w:rPr>
              <w:t xml:space="preserve">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5.  NEVER store an acid where a leak could reach cyanide. Acid on cyanide releases hydrogen cyanide gas.</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Contact with sulphuric or hydrochloric acid - burn to skin or eyes</w:t>
            </w:r>
          </w:p>
          <w:p>
            <w:pPr>
              <w:spacing w:after="30" w:line="235"/>
            </w:pPr>
            <w:r>
              <w:rPr>
                <w:rFonts w:ascii="Calibri" w:cs="Calibri" w:eastAsia="Calibri" w:hAnsi="Calibri"/>
                <w:sz w:val="15"/>
                <w:szCs w:val="15"/>
              </w:rPr>
              <w:t xml:space="preserve">Hydrogen cyanide gas released at the open sample point</w:t>
            </w:r>
          </w:p>
          <w:p>
            <w:pPr>
              <w:spacing w:after="0" w:line="235"/>
            </w:pPr>
            <w:r>
              <w:rPr>
                <w:rFonts w:ascii="Calibri" w:cs="Calibri" w:eastAsia="Calibri" w:hAnsi="Calibri"/>
                <w:sz w:val="15"/>
                <w:szCs w:val="15"/>
              </w:rPr>
              <w:t xml:space="preserve">Inhalation of acid fume or reagent vapour at the bench</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0" w:line="235"/>
            </w:pPr>
            <w:r>
              <w:rPr>
                <w:rFonts w:ascii="Calibri" w:cs="Calibri" w:eastAsia="Calibri" w:hAnsi="Calibri"/>
                <w:sz w:val="15"/>
                <w:szCs w:val="15"/>
              </w:rPr>
              <w:t xml:space="preserve">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6.  Decant only in the fume cupboard, with the airflow confirmed and a spill kit at hand.</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Inhalation of acid fume or reagent vapour at the bench</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7.  Label every decanted container immediately with contents, concentration, date and preparer.</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Manual handling injury from carrying sample buckets, containers and composite drums</w:t>
            </w:r>
          </w:p>
          <w:p>
            <w:pPr>
              <w:spacing w:after="0" w:line="235"/>
            </w:pPr>
            <w:r>
              <w:rPr>
                <w:rFonts w:ascii="Calibri" w:cs="Calibri" w:eastAsia="Calibri" w:hAnsi="Calibri"/>
                <w:sz w:val="15"/>
                <w:szCs w:val="15"/>
              </w:rPr>
              <w:t xml:space="preserve">Cross-contamination from a container or cutter not cleaned between points</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Sample volume kept to the schedule - no over-filling. Two-person lift or a trolley for composite containers above the site manual handling limit. Route cleared before lifting.</w:t>
            </w:r>
          </w:p>
          <w:p>
            <w:pPr>
              <w:spacing w:after="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8.  Return the parent container to its cabinet before leaving the bench.</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Manual handling injury from carrying sample buckets, containers and composite drums</w:t>
            </w:r>
          </w:p>
          <w:p>
            <w:pPr>
              <w:spacing w:after="0" w:line="235"/>
            </w:pPr>
            <w:r>
              <w:rPr>
                <w:rFonts w:ascii="Calibri" w:cs="Calibri" w:eastAsia="Calibri" w:hAnsi="Calibri"/>
                <w:sz w:val="15"/>
                <w:szCs w:val="15"/>
              </w:rPr>
              <w:t xml:space="preserve">Cross-contamination from a container or cutter not cleaned between points</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Sample volume kept to the schedule - no over-filling. Two-person lift or a trolley for composite containers above the site manual handling limit. Route cleared before lifting.</w:t>
            </w:r>
          </w:p>
          <w:p>
            <w:pPr>
              <w:spacing w:after="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Acid-resistant gloves, apron and face shield</w:t>
      </w:r>
    </w:p>
    <w:p>
      <w:pPr>
        <w:pStyle w:val="ListParagraph"/>
        <w:numPr>
          <w:ilvl w:val="0"/>
          <w:numId w:val="1"/>
        </w:numPr>
        <w:spacing w:after="60" w:line="245"/>
      </w:pPr>
      <w:r>
        <w:rPr>
          <w:rFonts w:ascii="Calibri" w:cs="Calibri" w:eastAsia="Calibri" w:hAnsi="Calibri"/>
          <w:sz w:val="17"/>
          <w:szCs w:val="17"/>
        </w:rPr>
        <w:t xml:space="preserve">Chemical splash goggles</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Points and equipment covered by this task:</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3200"/>
        <w:gridCol w:w="11638"/>
      </w:tblGrid>
      <w:tr>
        <w:trPr>
          <w:tblHeader/>
        </w:trPr>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Tag / point</w:t>
            </w:r>
          </w:p>
        </w:tc>
        <w:tc>
          <w:tcPr>
            <w:tcW w:type="dxa" w:w="116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Description</w:t>
            </w:r>
          </w:p>
        </w:tc>
      </w:tr>
      <w:tr>
        <w:tc>
          <w:tcPr>
            <w:tcW w:type="dxa" w:w="3200"/>
            <w:tcMar>
              <w:top w:type="dxa" w:w="55"/>
              <w:left w:type="dxa" w:w="85"/>
              <w:bottom w:type="dxa" w:w="55"/>
              <w:right w:type="dxa" w:w="85"/>
            </w:tcMar>
          </w:tcPr>
          <w:p>
            <w:pPr>
              <w:spacing w:after="0" w:line="235"/>
            </w:pPr>
            <w:r>
              <w:rPr>
                <w:rFonts w:ascii="Calibri" w:cs="Calibri" w:eastAsia="Calibri" w:hAnsi="Calibri"/>
                <w:sz w:val="16"/>
                <w:szCs w:val="16"/>
              </w:rPr>
              <w:t xml:space="preserve">Met lab bench</w:t>
            </w:r>
          </w:p>
        </w:tc>
        <w:tc>
          <w:tcPr>
            <w:tcW w:type="dxa" w:w="11638"/>
            <w:tcMar>
              <w:top w:type="dxa" w:w="55"/>
              <w:left w:type="dxa" w:w="85"/>
              <w:bottom w:type="dxa" w:w="55"/>
              <w:right w:type="dxa" w:w="85"/>
            </w:tcMar>
          </w:tcPr>
          <w:p>
            <w:pPr>
              <w:spacing w:after="0" w:line="235"/>
            </w:pPr>
            <w:r>
              <w:rPr>
                <w:rFonts w:ascii="Calibri" w:cs="Calibri" w:eastAsia="Calibri" w:hAnsi="Calibri"/>
                <w:sz w:val="16"/>
                <w:szCs w:val="16"/>
              </w:rPr>
              <w:t xml:space="preserve">Physical testwork bench and instrument</w:t>
            </w:r>
          </w:p>
        </w:tc>
      </w:tr>
    </w:tbl>
    <w:p>
      <w:pPr>
        <w:spacing w:after="60" w:before="0" w:line="245"/>
      </w:pPr>
    </w:p>
    <w:p>
      <w:pPr>
        <w:spacing w:after="60" w:before="0" w:line="245"/>
      </w:pPr>
      <w:r>
        <w:rPr>
          <w:rFonts w:ascii="Calibri" w:cs="Calibri" w:eastAsia="Calibri" w:hAnsi="Calibri"/>
          <w:sz w:val="17"/>
          <w:szCs w:val="17"/>
        </w:rPr>
        <w:t xml:space="preserve">Frequency: Every delivery, and every decant.</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Check the delivery against the order and the safety data sheet before accepting it.</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Reject anything with a damaged container, an illegible label or no safety data sheet.</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Log the chemical into the register with quantity, batch, date received and expiry.</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Store to the correct cabinet. Acids away from cyanide, oxidisers away from flammables, and nothing on the floor.</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NEVER store an acid where a leak could reach cyanide. Acid on cyanide releases hydrogen cyanide gas.</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Decant only in the fume cupboard, with the airflow confirmed and a spill kit at hand.</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Label every decanted container immediately with contents, concentration, date and preparer.</w:t>
      </w:r>
    </w:p>
    <w:p>
      <w:pPr>
        <w:ind w:left="280"/>
        <w:spacing w:after="50" w:before="0" w:line="245"/>
      </w:pPr>
      <w:r>
        <w:rPr>
          <w:rFonts w:ascii="Calibri" w:cs="Calibri" w:eastAsia="Calibri" w:hAnsi="Calibri"/>
          <w:b/>
          <w:bCs/>
          <w:sz w:val="17"/>
          <w:szCs w:val="17"/>
        </w:rPr>
        <w:t xml:space="preserve">8.</w:t>
      </w:r>
      <w:r>
        <w:rPr>
          <w:rFonts w:ascii="Calibri" w:cs="Calibri" w:eastAsia="Calibri" w:hAnsi="Calibri"/>
          <w:sz w:val="17"/>
          <w:szCs w:val="17"/>
        </w:rPr>
        <w:t xml:space="preserve">  Return the parent container to its cabinet before leaving the bench.</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160 L flammable, 160 L corrosive and 60 L toxic cabinets</w:t>
      </w:r>
    </w:p>
    <w:p>
      <w:pPr>
        <w:pStyle w:val="ListParagraph"/>
        <w:numPr>
          <w:ilvl w:val="0"/>
          <w:numId w:val="1"/>
        </w:numPr>
        <w:spacing w:after="60" w:line="245"/>
      </w:pPr>
      <w:r>
        <w:rPr>
          <w:rFonts w:ascii="Calibri" w:cs="Calibri" w:eastAsia="Calibri" w:hAnsi="Calibri"/>
          <w:sz w:val="17"/>
          <w:szCs w:val="17"/>
        </w:rPr>
        <w:t xml:space="preserve">Fume cupboard</w:t>
      </w:r>
    </w:p>
    <w:p>
      <w:pPr>
        <w:pStyle w:val="ListParagraph"/>
        <w:numPr>
          <w:ilvl w:val="0"/>
          <w:numId w:val="1"/>
        </w:numPr>
        <w:spacing w:after="60" w:line="245"/>
      </w:pPr>
      <w:r>
        <w:rPr>
          <w:rFonts w:ascii="Calibri" w:cs="Calibri" w:eastAsia="Calibri" w:hAnsi="Calibri"/>
          <w:sz w:val="17"/>
          <w:szCs w:val="17"/>
        </w:rPr>
        <w:t xml:space="preserve">Decanting equipment</w:t>
      </w:r>
    </w:p>
    <w:p>
      <w:pPr>
        <w:pStyle w:val="ListParagraph"/>
        <w:numPr>
          <w:ilvl w:val="0"/>
          <w:numId w:val="1"/>
        </w:numPr>
        <w:spacing w:after="60" w:line="245"/>
      </w:pPr>
      <w:r>
        <w:rPr>
          <w:rFonts w:ascii="Calibri" w:cs="Calibri" w:eastAsia="Calibri" w:hAnsi="Calibri"/>
          <w:sz w:val="17"/>
          <w:szCs w:val="17"/>
        </w:rPr>
        <w:t xml:space="preserve">Spill kit</w:t>
      </w:r>
    </w:p>
    <w:p>
      <w:pPr>
        <w:pStyle w:val="ListParagraph"/>
        <w:numPr>
          <w:ilvl w:val="0"/>
          <w:numId w:val="1"/>
        </w:numPr>
        <w:spacing w:after="60" w:line="245"/>
      </w:pPr>
      <w:r>
        <w:rPr>
          <w:rFonts w:ascii="Calibri" w:cs="Calibri" w:eastAsia="Calibri" w:hAnsi="Calibri"/>
          <w:sz w:val="17"/>
          <w:szCs w:val="17"/>
        </w:rPr>
        <w:t xml:space="preserve">Chemical register</w:t>
      </w:r>
    </w:p>
    <w:p>
      <w:pPr>
        <w:pStyle w:val="ListParagraph"/>
        <w:numPr>
          <w:ilvl w:val="0"/>
          <w:numId w:val="1"/>
        </w:numPr>
        <w:spacing w:after="60" w:line="245"/>
      </w:pPr>
      <w:r>
        <w:rPr>
          <w:rFonts w:ascii="Calibri" w:cs="Calibri" w:eastAsia="Calibri" w:hAnsi="Calibri"/>
          <w:sz w:val="17"/>
          <w:szCs w:val="17"/>
        </w:rPr>
        <w:t xml:space="preserve">Labels</w:t>
      </w:r>
    </w:p>
    <w:p>
      <w:pPr>
        <w:pStyle w:val="ListParagraph"/>
        <w:numPr>
          <w:ilvl w:val="0"/>
          <w:numId w:val="1"/>
        </w:numPr>
        <w:spacing w:after="60" w:line="245"/>
      </w:pPr>
      <w:r>
        <w:rPr>
          <w:rFonts w:ascii="Calibri" w:cs="Calibri" w:eastAsia="Calibri" w:hAnsi="Calibri"/>
          <w:sz w:val="17"/>
          <w:szCs w:val="17"/>
        </w:rPr>
        <w:t xml:space="preserve">Safety data sheets</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SWI-PRO-MET-206-001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SWI-PRO-MET-206-001.</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KBK-MIR-LAB-WET-SOP-025 chemical issue and WET-SOP-047 acid transfer</w:t>
      </w:r>
    </w:p>
    <w:p>
      <w:pPr>
        <w:pStyle w:val="ListParagraph"/>
        <w:numPr>
          <w:ilvl w:val="0"/>
          <w:numId w:val="1"/>
        </w:numPr>
        <w:spacing w:after="60" w:line="245"/>
      </w:pPr>
      <w:r>
        <w:rPr>
          <w:rFonts w:ascii="Calibri" w:cs="Calibri" w:eastAsia="Calibri" w:hAnsi="Calibri"/>
          <w:sz w:val="17"/>
          <w:szCs w:val="17"/>
        </w:rPr>
        <w:t xml:space="preserve">ILS quotation Q0023979 - 160 L flammable, 160 L corrosive and 60 L toxic/poisons cabinets</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JSEA-PRO-MET-206-001</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JSEA-PRO-MET-206-001  ·  Met Lab Chemical Receipt, Storage and Decanting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