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Cyanide Solution Handling and Spill Response</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SWI-PRO-MET-206-005  Cyanide Solution Handling and Spill Response</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JSEA-PRO-MET-206-005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cyanide solution handling and spill response in 206  Met Lab - Facility, Safety and Quality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Handle cyanide solutions at the bench and respond correctly to a cyanide spill in the laboratory.</w:t>
      </w:r>
    </w:p>
    <w:p>
      <w:pPr>
        <w:pStyle w:val="ListParagraph"/>
        <w:numPr>
          <w:ilvl w:val="0"/>
          <w:numId w:val="1"/>
        </w:numPr>
        <w:spacing w:after="60" w:line="245"/>
      </w:pPr>
      <w:r>
        <w:rPr>
          <w:rFonts w:ascii="Calibri" w:cs="Calibri" w:eastAsia="Calibri" w:hAnsi="Calibri"/>
          <w:sz w:val="17"/>
          <w:szCs w:val="17"/>
        </w:rPr>
        <w:t xml:space="preserve">A cyanide spill in a small enclosed room with acids present is the worst credible laboratory event on this site.</w:t>
      </w:r>
    </w:p>
    <w:p>
      <w:pPr>
        <w:spacing w:after="60" w:before="0" w:line="245"/>
      </w:pPr>
      <w:r>
        <w:rPr>
          <w:rFonts w:ascii="Calibri" w:cs="Calibri" w:eastAsia="Calibri" w:hAnsi="Calibri"/>
          <w:sz w:val="17"/>
          <w:szCs w:val="17"/>
        </w:rPr>
        <w:t xml:space="preserve">It is read with work instruction SWI-PRO-MET-206-005, which gives the step-by-step method, and with HM-PRC-VXX-PRO210 Metallurgical Laboratory Facility,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Handle cyanide solutions only in the fume cupboard with the airflow confirmed.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Keep all acids out of the cupboard while cyanide work is in progress. Acid on cyanide releases HCN.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Keep the solution pH above 10.5 at all times. Confirm it before starting.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On a small spill inside the cupboard: leave the sash down and the fan running, neutralise with caustic, then absorb and bag for cyanide waste disposal.</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On a spill outside the cupboard: evacuate the laboratory, close the door, raise the alarm and do not re-enter.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On skin contact: flood with water at the safety shower for at least 15 minutes, remove contaminated clothing under the water, and get the antidote kit and a trained first aider.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On suspected inhalation: move the person to fresh air, do not enter to retrieve them without protection, and call for the antidote kit and emergency response immediately.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Report every spill, however small, and record it.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cyanide handling task; drill at the set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Handle cyanide solutions only in the fume cupboard with the airflow confirmed.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Keep all acids out of the cupboard while cyanide work is in progress. Acid on cyanide releases HCN.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Keep the solution pH above 10.5 at all times. Confirm it before starting.</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On a small spill inside the cupboard: leave the sash down and the fan running, neutralise with caustic, then absorb and bag for cyanide waste disposal.</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On a spill outside the cupboard: evacuate the laboratory, close the door, raise the alarm and do not re-enter.</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On skin contact: flood with water at the safety shower for at least 15 minutes, remove contaminated clothing under the water, and get the antidote kit and a trained first aider.</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On suspected inhalation: move the person to fresh air, do not enter to retrieve them without protection, and call for the antidote kit and emergency response immediately.</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every spill, however small, and record it.</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Cyanide antidote kit</w:t>
      </w:r>
    </w:p>
    <w:p>
      <w:pPr>
        <w:pStyle w:val="ListParagraph"/>
        <w:numPr>
          <w:ilvl w:val="0"/>
          <w:numId w:val="1"/>
        </w:numPr>
        <w:spacing w:after="60" w:line="245"/>
      </w:pPr>
      <w:r>
        <w:rPr>
          <w:rFonts w:ascii="Calibri" w:cs="Calibri" w:eastAsia="Calibri" w:hAnsi="Calibri"/>
          <w:sz w:val="17"/>
          <w:szCs w:val="17"/>
        </w:rPr>
        <w:t xml:space="preserve">Hazchem spill kit 120 L</w:t>
      </w:r>
    </w:p>
    <w:p>
      <w:pPr>
        <w:pStyle w:val="ListParagraph"/>
        <w:numPr>
          <w:ilvl w:val="0"/>
          <w:numId w:val="1"/>
        </w:numPr>
        <w:spacing w:after="60" w:line="245"/>
      </w:pPr>
      <w:r>
        <w:rPr>
          <w:rFonts w:ascii="Calibri" w:cs="Calibri" w:eastAsia="Calibri" w:hAnsi="Calibri"/>
          <w:sz w:val="17"/>
          <w:szCs w:val="17"/>
        </w:rPr>
        <w:t xml:space="preserve">Caustic for neutralisation</w:t>
      </w:r>
    </w:p>
    <w:p>
      <w:pPr>
        <w:pStyle w:val="ListParagraph"/>
        <w:numPr>
          <w:ilvl w:val="0"/>
          <w:numId w:val="1"/>
        </w:numPr>
        <w:spacing w:after="60" w:line="245"/>
      </w:pPr>
      <w:r>
        <w:rPr>
          <w:rFonts w:ascii="Calibri" w:cs="Calibri" w:eastAsia="Calibri" w:hAnsi="Calibri"/>
          <w:sz w:val="17"/>
          <w:szCs w:val="17"/>
        </w:rPr>
        <w:t xml:space="preserve">Safety shower and eyewash</w:t>
      </w:r>
    </w:p>
    <w:p>
      <w:pPr>
        <w:pStyle w:val="ListParagraph"/>
        <w:numPr>
          <w:ilvl w:val="0"/>
          <w:numId w:val="1"/>
        </w:numPr>
        <w:spacing w:after="60" w:line="245"/>
      </w:pPr>
      <w:r>
        <w:rPr>
          <w:rFonts w:ascii="Calibri" w:cs="Calibri" w:eastAsia="Calibri" w:hAnsi="Calibri"/>
          <w:sz w:val="17"/>
          <w:szCs w:val="17"/>
        </w:rPr>
        <w:t xml:space="preserve">Personal HCN monitor</w:t>
      </w:r>
    </w:p>
    <w:p>
      <w:pPr>
        <w:pStyle w:val="ListParagraph"/>
        <w:numPr>
          <w:ilvl w:val="0"/>
          <w:numId w:val="1"/>
        </w:numPr>
        <w:spacing w:after="60" w:line="245"/>
      </w:pPr>
      <w:r>
        <w:rPr>
          <w:rFonts w:ascii="Calibri" w:cs="Calibri" w:eastAsia="Calibri" w:hAnsi="Calibri"/>
          <w:sz w:val="17"/>
          <w:szCs w:val="17"/>
        </w:rPr>
        <w:t xml:space="preserve">Emergency contact list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SWI-PRO-MET-206-005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SWI-PRO-MET-206-005.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SWI-022 Gas Detector Alarm Response and SWI-025 Cyanide Bearing Spill Response, both issued (plant versions)</w:t>
      </w:r>
    </w:p>
    <w:p>
      <w:pPr>
        <w:pStyle w:val="ListParagraph"/>
        <w:numPr>
          <w:ilvl w:val="0"/>
          <w:numId w:val="1"/>
        </w:numPr>
        <w:spacing w:after="60" w:line="245"/>
      </w:pPr>
      <w:r>
        <w:rPr>
          <w:rFonts w:ascii="Calibri" w:cs="Calibri" w:eastAsia="Calibri" w:hAnsi="Calibri"/>
          <w:sz w:val="17"/>
          <w:szCs w:val="17"/>
        </w:rPr>
        <w:t xml:space="preserve">KBK-MIR-MP-PRO-OPE-SOP-0076 Fasilitas Cyanide, received 11 Aug 2026</w:t>
      </w:r>
    </w:p>
    <w:p>
      <w:pPr>
        <w:pStyle w:val="ListParagraph"/>
        <w:numPr>
          <w:ilvl w:val="0"/>
          <w:numId w:val="1"/>
        </w:numPr>
        <w:spacing w:after="60" w:line="245"/>
      </w:pPr>
      <w:r>
        <w:rPr>
          <w:rFonts w:ascii="Calibri" w:cs="Calibri" w:eastAsia="Calibri" w:hAnsi="Calibri"/>
          <w:sz w:val="17"/>
          <w:szCs w:val="17"/>
        </w:rPr>
        <w:t xml:space="preserve">ILS quotation Q0023979 - safety shower with eye wash, 3 x eye wash stations, 120 L hazchem spill kit</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JSEA-PRO-MET-206-005  ·  Cyanide Solution Handling and Spill Response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