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JOB SAFETY AND ENVIRONMENTAL ANALYSIS</w:t>
      </w:r>
    </w:p>
    <w:p>
      <w:pPr>
        <w:pBdr>
          <w:bottom w:val="single" w:sz="8" w:space="4" w:color="1F3864"/>
        </w:pBdr>
        <w:spacing w:after="80" w:before="0" w:line="300"/>
      </w:pPr>
      <w:r>
        <w:rPr>
          <w:rFonts w:ascii="Calibri" w:cs="Calibri" w:eastAsia="Calibri" w:hAnsi="Calibri"/>
          <w:b/>
          <w:bCs/>
          <w:color w:val="1F3864"/>
          <w:sz w:val="32"/>
          <w:szCs w:val="32"/>
        </w:rPr>
        <w:t xml:space="preserve">Acid Spill Response and Neutralisation</w:t>
      </w:r>
    </w:p>
    <w:p>
      <w:pPr>
        <w:spacing w:after="140" w:before="0" w:line="245"/>
      </w:pPr>
      <w:r>
        <w:rPr>
          <w:rFonts w:ascii="Calibri" w:cs="Calibri" w:eastAsia="Calibri" w:hAnsi="Calibri"/>
          <w:color w:val="555555"/>
          <w:sz w:val="17"/>
          <w:szCs w:val="17"/>
        </w:rPr>
        <w:t xml:space="preserve">Job Safety and Environmental Analysis  ·  Heritage Minerals  ·  Mt. Morgan Processing Plant</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Work instruction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SWI-PRO-MET-206-006  Acid Spill Response and Neutralisation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HM-PRC-VXX-PRO210  Metallurgical Laboratory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206  Met Lab - Facility, Safety and Quality</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Register line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JSEA-PRO-MET-206-006 in HM-MMM-WHS-REG-JSEA-PRO-updated_10, tab JSEA_MET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Process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Heritage Mineral Operations  ·  Business unit Mt. Morgan</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owner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Operations Superintendent</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approver</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Process Manager</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Rev 0</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p>
      <w:pPr>
        <w:pStyle w:val="Heading1"/>
        <w:spacing w:after="120" w:before="260"/>
      </w:pPr>
      <w:r>
        <w:rPr>
          <w:rFonts w:ascii="Calibri" w:cs="Calibri" w:eastAsia="Calibri" w:hAnsi="Calibri"/>
          <w:b/>
          <w:bCs/>
          <w:color w:val="1F3864"/>
          <w:sz w:val="24"/>
          <w:szCs w:val="24"/>
        </w:rPr>
        <w:t xml:space="preserve">1  PURPOSE / SCOPE</w:t>
      </w:r>
    </w:p>
    <w:p>
      <w:pPr>
        <w:spacing w:after="60" w:before="0" w:line="245"/>
      </w:pPr>
      <w:r>
        <w:rPr>
          <w:rFonts w:ascii="Calibri" w:cs="Calibri" w:eastAsia="Calibri" w:hAnsi="Calibri"/>
          <w:sz w:val="17"/>
          <w:szCs w:val="17"/>
        </w:rPr>
        <w:t xml:space="preserve">This job safety and environmental analysis covers the task acid spill response and neutralisation in 206  Met Lab - Facility, Safety and Quality at the Mt. Morgan processing plant. It identifies the hazards at each step of the task, the controls required, and the residual risk once those controls are in place.</w:t>
      </w:r>
    </w:p>
    <w:p>
      <w:pPr>
        <w:pStyle w:val="ListParagraph"/>
        <w:numPr>
          <w:ilvl w:val="0"/>
          <w:numId w:val="1"/>
        </w:numPr>
        <w:spacing w:after="60" w:line="245"/>
      </w:pPr>
      <w:r>
        <w:rPr>
          <w:rFonts w:ascii="Calibri" w:cs="Calibri" w:eastAsia="Calibri" w:hAnsi="Calibri"/>
          <w:sz w:val="17"/>
          <w:szCs w:val="17"/>
        </w:rPr>
        <w:t xml:space="preserve">Respond to an acid spill in the laboratory and neutralise it safely.</w:t>
      </w:r>
    </w:p>
    <w:p>
      <w:pPr>
        <w:pStyle w:val="ListParagraph"/>
        <w:numPr>
          <w:ilvl w:val="0"/>
          <w:numId w:val="1"/>
        </w:numPr>
        <w:spacing w:after="60" w:line="245"/>
      </w:pPr>
      <w:r>
        <w:rPr>
          <w:rFonts w:ascii="Calibri" w:cs="Calibri" w:eastAsia="Calibri" w:hAnsi="Calibri"/>
          <w:sz w:val="17"/>
          <w:szCs w:val="17"/>
        </w:rPr>
        <w:t xml:space="preserve">The laboratory holds concentrated sulphuric, hydrochloric and perchloric acid, and cyanide is in the same room.</w:t>
      </w:r>
    </w:p>
    <w:p>
      <w:pPr>
        <w:spacing w:after="60" w:before="0" w:line="245"/>
      </w:pPr>
      <w:r>
        <w:rPr>
          <w:rFonts w:ascii="Calibri" w:cs="Calibri" w:eastAsia="Calibri" w:hAnsi="Calibri"/>
          <w:sz w:val="17"/>
          <w:szCs w:val="17"/>
        </w:rPr>
        <w:t xml:space="preserve">It is read with work instruction SWI-PRO-MET-206-006, which gives the step-by-step method, and with HM-PRC-VXX-PRO210 Metallurgical Laboratory Facility, Safety and Quality, the procedure this task sits under.</w:t>
      </w:r>
    </w:p>
    <w:p>
      <w:pPr>
        <w:pStyle w:val="Heading1"/>
        <w:spacing w:after="120" w:before="260"/>
      </w:pPr>
      <w:r>
        <w:rPr>
          <w:rFonts w:ascii="Calibri" w:cs="Calibri" w:eastAsia="Calibri" w:hAnsi="Calibri"/>
          <w:b/>
          <w:bCs/>
          <w:color w:val="1F3864"/>
          <w:sz w:val="24"/>
          <w:szCs w:val="24"/>
        </w:rPr>
        <w:t xml:space="preserve">2  RESPONSIBILITIES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600"/>
        <w:gridCol w:w="12238"/>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Role</w:t>
            </w:r>
          </w:p>
        </w:tc>
        <w:tc>
          <w:tcPr>
            <w:tcW w:type="dxa" w:w="122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Responsibilities</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Operator / Metallurgical Technician</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Only carry out this task where competent and authorised to do so.</w:t>
            </w:r>
          </w:p>
          <w:p>
            <w:pPr>
              <w:spacing w:after="30" w:line="235"/>
            </w:pPr>
            <w:r>
              <w:rPr>
                <w:rFonts w:ascii="Calibri" w:cs="Calibri" w:eastAsia="Calibri" w:hAnsi="Calibri"/>
                <w:sz w:val="16"/>
                <w:szCs w:val="16"/>
              </w:rPr>
              <w:t xml:space="preserve">Wear the PPE listed in Section 5 without exception.</w:t>
            </w:r>
          </w:p>
          <w:p>
            <w:pPr>
              <w:spacing w:after="30" w:line="235"/>
            </w:pPr>
            <w:r>
              <w:rPr>
                <w:rFonts w:ascii="Calibri" w:cs="Calibri" w:eastAsia="Calibri" w:hAnsi="Calibri"/>
                <w:sz w:val="16"/>
                <w:szCs w:val="16"/>
              </w:rPr>
              <w:t xml:space="preserve">Stop the task and report immediately if any control in Section 4 is not in place.</w:t>
            </w:r>
          </w:p>
          <w:p>
            <w:pPr>
              <w:spacing w:after="0" w:line="235"/>
            </w:pPr>
            <w:r>
              <w:rPr>
                <w:rFonts w:ascii="Calibri" w:cs="Calibri" w:eastAsia="Calibri" w:hAnsi="Calibri"/>
                <w:sz w:val="16"/>
                <w:szCs w:val="16"/>
              </w:rPr>
              <w:t xml:space="preserve">Record the work accurately. Never invent or back-fill a result that was not obtained.</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Supervisor / Coordinator</w:t>
            </w:r>
          </w:p>
        </w:tc>
        <w:tc>
          <w:tcPr>
            <w:tcW w:type="dxa" w:w="12238"/>
            <w:shd w:val="clear" w:color="auto" w:fill="F2F5FA"/>
            <w:tcMar>
              <w:top w:type="dxa" w:w="55"/>
              <w:left w:type="dxa" w:w="85"/>
              <w:bottom w:type="dxa" w:w="55"/>
              <w:right w:type="dxa" w:w="85"/>
            </w:tcMar>
          </w:tcPr>
          <w:p>
            <w:pPr>
              <w:spacing w:after="30" w:line="235"/>
            </w:pPr>
            <w:r>
              <w:rPr>
                <w:rFonts w:ascii="Calibri" w:cs="Calibri" w:eastAsia="Calibri" w:hAnsi="Calibri"/>
                <w:sz w:val="16"/>
                <w:szCs w:val="16"/>
              </w:rPr>
              <w:t xml:space="preserve">Ensure the safety of all personnel carrying out this task.</w:t>
            </w:r>
          </w:p>
          <w:p>
            <w:pPr>
              <w:spacing w:after="30" w:line="235"/>
            </w:pPr>
            <w:r>
              <w:rPr>
                <w:rFonts w:ascii="Calibri" w:cs="Calibri" w:eastAsia="Calibri" w:hAnsi="Calibri"/>
                <w:sz w:val="16"/>
                <w:szCs w:val="16"/>
              </w:rPr>
              <w:t xml:space="preserve">Understand that much of the plant is automated and equipment may start or stop without warning.</w:t>
            </w:r>
          </w:p>
          <w:p>
            <w:pPr>
              <w:spacing w:after="30" w:line="235"/>
            </w:pPr>
            <w:r>
              <w:rPr>
                <w:rFonts w:ascii="Calibri" w:cs="Calibri" w:eastAsia="Calibri" w:hAnsi="Calibri"/>
                <w:sz w:val="16"/>
                <w:szCs w:val="16"/>
              </w:rPr>
              <w:t xml:space="preserve">Confirm the task is authorised and that the area is fit before it starts.</w:t>
            </w:r>
          </w:p>
          <w:p>
            <w:pPr>
              <w:spacing w:after="0" w:line="235"/>
            </w:pPr>
            <w:r>
              <w:rPr>
                <w:rFonts w:ascii="Calibri" w:cs="Calibri" w:eastAsia="Calibri" w:hAnsi="Calibri"/>
                <w:sz w:val="16"/>
                <w:szCs w:val="16"/>
              </w:rPr>
              <w:t xml:space="preserve">Ensure this JSEA is communicated to everyone doing the task and that the sign-on sheet is completed.</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Manager / Superintendent</w:t>
            </w:r>
          </w:p>
        </w:tc>
        <w:tc>
          <w:tcPr>
            <w:tcW w:type="dxa" w:w="12238"/>
            <w:tcMar>
              <w:top w:type="dxa" w:w="55"/>
              <w:left w:type="dxa" w:w="85"/>
              <w:bottom w:type="dxa" w:w="55"/>
              <w:right w:type="dxa" w:w="85"/>
            </w:tcMar>
          </w:tcPr>
          <w:p>
            <w:pPr>
              <w:spacing w:after="30" w:line="235"/>
            </w:pPr>
            <w:r>
              <w:rPr>
                <w:rFonts w:ascii="Calibri" w:cs="Calibri" w:eastAsia="Calibri" w:hAnsi="Calibri"/>
                <w:sz w:val="16"/>
                <w:szCs w:val="16"/>
              </w:rPr>
              <w:t xml:space="preserve">Ensure all personnel have received adequate training and are competent.</w:t>
            </w:r>
          </w:p>
          <w:p>
            <w:pPr>
              <w:spacing w:after="30" w:line="235"/>
            </w:pPr>
            <w:r>
              <w:rPr>
                <w:rFonts w:ascii="Calibri" w:cs="Calibri" w:eastAsia="Calibri" w:hAnsi="Calibri"/>
                <w:sz w:val="16"/>
                <w:szCs w:val="16"/>
              </w:rPr>
              <w:t xml:space="preserve">Ensure this JSEA is reviewed at the interval in Section 10 and after any incident or change.</w:t>
            </w:r>
          </w:p>
          <w:p>
            <w:pPr>
              <w:spacing w:after="0" w:line="235"/>
            </w:pPr>
            <w:r>
              <w:rPr>
                <w:rFonts w:ascii="Calibri" w:cs="Calibri" w:eastAsia="Calibri" w:hAnsi="Calibri"/>
                <w:sz w:val="16"/>
                <w:szCs w:val="16"/>
              </w:rPr>
              <w:t xml:space="preserve">Approve the risk ranking in Section 4.</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3  ABBREVIATIONS / DEFINITIONS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000"/>
        <w:gridCol w:w="12838"/>
      </w:tblGrid>
      <w:tr>
        <w:trPr>
          <w:tblHeader/>
        </w:trPr>
        <w:tc>
          <w:tcPr>
            <w:tcW w:type="dxa" w:w="20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Term</w:t>
            </w:r>
          </w:p>
        </w:tc>
        <w:tc>
          <w:tcPr>
            <w:tcW w:type="dxa" w:w="12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Meaning</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AVR</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Acidification, volatilisation and regeneration - the cyanide recovery step in Area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Carbon in leach</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CN Free</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Free cyanide, determined by silver nitrate titration</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DO</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Dissolved oxygen</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HCN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Job safety and environmental analysis - this document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P80</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screen size through which 80 per cent of the material passes</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PPE</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Personal protective equipment</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ReCYN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The resin-in-pulp cyanide and metal recovery process used in Areas 041, 051, 071 and 081</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SWI</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Standard work instruction - the step-by-step document that sits under this JSEA</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SWP</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Standard work procedure - the circuit-level procedure this task sits under</w:t>
            </w:r>
          </w:p>
        </w:tc>
      </w:tr>
      <w:tr>
        <w:tc>
          <w:tcPr>
            <w:tcW w:type="dxa" w:w="20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TSF</w:t>
            </w:r>
          </w:p>
        </w:tc>
        <w:tc>
          <w:tcPr>
            <w:tcW w:type="dxa" w:w="12838"/>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Tailings storage facility</w:t>
            </w:r>
          </w:p>
        </w:tc>
      </w:tr>
      <w:tr>
        <w:tc>
          <w:tcPr>
            <w:tcW w:type="dxa" w:w="2000"/>
            <w:tcMar>
              <w:top w:type="dxa" w:w="55"/>
              <w:left w:type="dxa" w:w="85"/>
              <w:bottom w:type="dxa" w:w="55"/>
              <w:right w:type="dxa" w:w="85"/>
            </w:tcMar>
          </w:tcPr>
          <w:p>
            <w:pPr>
              <w:spacing w:after="0" w:line="235"/>
            </w:pPr>
            <w:r>
              <w:rPr>
                <w:rFonts w:ascii="Calibri" w:cs="Calibri" w:eastAsia="Calibri" w:hAnsi="Calibri"/>
                <w:sz w:val="16"/>
                <w:szCs w:val="16"/>
              </w:rPr>
              <w:t xml:space="preserve">WAD CN</w:t>
            </w:r>
          </w:p>
        </w:tc>
        <w:tc>
          <w:tcPr>
            <w:tcW w:type="dxa" w:w="12838"/>
            <w:tcMar>
              <w:top w:type="dxa" w:w="55"/>
              <w:left w:type="dxa" w:w="85"/>
              <w:bottom w:type="dxa" w:w="55"/>
              <w:right w:type="dxa" w:w="85"/>
            </w:tcMar>
          </w:tcPr>
          <w:p>
            <w:pPr>
              <w:spacing w:after="0" w:line="235"/>
            </w:pPr>
            <w:r>
              <w:rPr>
                <w:rFonts w:ascii="Calibri" w:cs="Calibri" w:eastAsia="Calibri" w:hAnsi="Calibri"/>
                <w:sz w:val="16"/>
                <w:szCs w:val="16"/>
              </w:rPr>
              <w:t xml:space="preserve">Weak acid dissociable cyanide</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4  POTENTIAL HAZARDS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1700"/>
        <w:gridCol w:w="13138"/>
      </w:tblGrid>
      <w:tr>
        <w:trPr>
          <w:tblHeader/>
        </w:trPr>
        <w:tc>
          <w:tcPr>
            <w:tcW w:type="dxa" w:w="17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Scale</w:t>
            </w:r>
          </w:p>
        </w:tc>
        <w:tc>
          <w:tcPr>
            <w:tcW w:type="dxa" w:w="131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Values</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Probability</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Rare   2 Unlikely   3 Possible   4 Likely   5 Almost certain</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Consequence</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1 Insignificant   2 Minor   3 Moderate   4 Major   5 Catastrophic</w:t>
            </w:r>
          </w:p>
        </w:tc>
      </w:tr>
      <w:tr>
        <w:tc>
          <w:tcPr>
            <w:tcW w:type="dxa" w:w="1700"/>
            <w:tcMar>
              <w:top w:type="dxa" w:w="55"/>
              <w:left w:type="dxa" w:w="85"/>
              <w:bottom w:type="dxa" w:w="55"/>
              <w:right w:type="dxa" w:w="85"/>
            </w:tcMar>
          </w:tcPr>
          <w:p>
            <w:pPr>
              <w:spacing w:after="0" w:line="235"/>
            </w:pPr>
            <w:r>
              <w:rPr>
                <w:rFonts w:ascii="Calibri" w:cs="Calibri" w:eastAsia="Calibri" w:hAnsi="Calibri"/>
                <w:sz w:val="15"/>
                <w:szCs w:val="15"/>
              </w:rPr>
              <w:t xml:space="preserve">Risk rank</w:t>
            </w:r>
          </w:p>
        </w:tc>
        <w:tc>
          <w:tcPr>
            <w:tcW w:type="dxa" w:w="13138"/>
            <w:tcMar>
              <w:top w:type="dxa" w:w="55"/>
              <w:left w:type="dxa" w:w="85"/>
              <w:bottom w:type="dxa" w:w="55"/>
              <w:right w:type="dxa" w:w="85"/>
            </w:tcMar>
          </w:tcPr>
          <w:p>
            <w:pPr>
              <w:spacing w:after="0" w:line="235"/>
            </w:pPr>
            <w:r>
              <w:rPr>
                <w:rFonts w:ascii="Calibri" w:cs="Calibri" w:eastAsia="Calibri" w:hAnsi="Calibri"/>
                <w:sz w:val="15"/>
                <w:szCs w:val="15"/>
              </w:rPr>
              <w:t xml:space="preserve">Probability x Consequence.   1-4 Low   5-9 Medium   10-14 High   15-25 Extreme. Scored after the controls in the same row are in place.</w:t>
            </w:r>
          </w:p>
        </w:tc>
      </w:tr>
    </w:tbl>
    <w:p>
      <w:pPr>
        <w:spacing w:after="60" w:before="0" w:line="245"/>
      </w:pPr>
    </w:p>
    <w:tbl>
      <w:tblPr>
        <w:tblW w:type="dxa" w:w="14250"/>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5100"/>
        <w:gridCol w:w="500"/>
        <w:gridCol w:w="500"/>
        <w:gridCol w:w="1350"/>
        <w:gridCol w:w="1200"/>
      </w:tblGrid>
      <w:tr>
        <w:trPr>
          <w:tblHeader/>
        </w:trPr>
        <w:tc>
          <w:tcPr>
            <w:tcW w:type="dxa" w:w="25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Job step</w:t>
            </w:r>
          </w:p>
        </w:tc>
        <w:tc>
          <w:tcPr>
            <w:tcW w:type="dxa" w:w="3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Hazards identified</w:t>
            </w:r>
          </w:p>
        </w:tc>
        <w:tc>
          <w:tcPr>
            <w:tcW w:type="dxa" w:w="51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Controls required</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P</w:t>
            </w:r>
          </w:p>
        </w:tc>
        <w:tc>
          <w:tcPr>
            <w:tcW w:type="dxa" w:w="50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C</w:t>
            </w:r>
          </w:p>
        </w:tc>
        <w:tc>
          <w:tcPr>
            <w:tcW w:type="dxa" w:w="1350"/>
            <w:shd w:val="clear" w:color="auto" w:fill="1F3864"/>
            <w:tcMar>
              <w:top w:type="dxa" w:w="55"/>
              <w:left w:type="dxa" w:w="85"/>
              <w:bottom w:type="dxa" w:w="55"/>
              <w:right w:type="dxa" w:w="85"/>
            </w:tcMar>
          </w:tcPr>
          <w:p>
            <w:pPr>
              <w:jc w:val="center"/>
              <w:spacing w:after="0" w:line="235"/>
            </w:pPr>
            <w:r>
              <w:rPr>
                <w:rFonts w:ascii="Calibri" w:cs="Calibri" w:eastAsia="Calibri" w:hAnsi="Calibri"/>
                <w:b/>
                <w:bCs/>
                <w:color w:val="FFFFFF"/>
                <w:sz w:val="15"/>
                <w:szCs w:val="15"/>
              </w:rPr>
              <w:t xml:space="preserve">Risk</w:t>
            </w:r>
          </w:p>
        </w:tc>
        <w:tc>
          <w:tcPr>
            <w:tcW w:type="dxa" w:w="1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5"/>
                <w:szCs w:val="15"/>
              </w:rPr>
              <w:t xml:space="preserve">Actioned by</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1.  Contain the spill first, then neutralise. Never flush an acid spill to drain untreated.</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30" w:line="235"/>
            </w:pPr>
            <w:r>
              <w:rPr>
                <w:rFonts w:ascii="Calibri" w:cs="Calibri" w:eastAsia="Calibri" w:hAnsi="Calibri"/>
                <w:sz w:val="15"/>
                <w:szCs w:val="15"/>
              </w:rPr>
              <w:t xml:space="preserve">Inhalation of acid fume or reagent vapour at the bench</w:t>
            </w:r>
          </w:p>
          <w:p>
            <w:pPr>
              <w:spacing w:after="0" w:line="235"/>
            </w:pPr>
            <w:r>
              <w:rPr>
                <w:rFonts w:ascii="Calibri" w:cs="Calibri" w:eastAsia="Calibri" w:hAnsi="Calibri"/>
                <w:sz w:val="15"/>
                <w:szCs w:val="15"/>
              </w:rPr>
              <w:t xml:space="preserve">Hydrogen cyanide gas released at the open sample point</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3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p>
            <w:pPr>
              <w:spacing w:after="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2.  Where the spill is anywhere near cyanide-bearing material or waste, treat it as a potential HCN release - evacuate, raise the alarm and do not attempt to clean it up unprotected.</w:t>
            </w:r>
          </w:p>
        </w:tc>
        <w:tc>
          <w:tcPr>
            <w:tcW w:type="dxa" w:w="3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Hydrogen cyanide gas released at the open sample point</w:t>
            </w:r>
          </w:p>
          <w:p>
            <w:pPr>
              <w:spacing w:after="0" w:line="235"/>
            </w:pPr>
            <w:r>
              <w:rPr>
                <w:rFonts w:ascii="Calibri" w:cs="Calibri" w:eastAsia="Calibri" w:hAnsi="Calibri"/>
                <w:sz w:val="15"/>
                <w:szCs w:val="15"/>
              </w:rPr>
              <w:t xml:space="preserve">Cross-contamination from a container or cutter not cleaned between points</w:t>
            </w:r>
          </w:p>
        </w:tc>
        <w:tc>
          <w:tcPr>
            <w:tcW w:type="dxa" w:w="5100"/>
            <w:shd w:val="clear" w:color="auto" w:fill="F2F5FA"/>
            <w:tcMar>
              <w:top w:type="dxa" w:w="55"/>
              <w:left w:type="dxa" w:w="85"/>
              <w:bottom w:type="dxa" w:w="55"/>
              <w:right w:type="dxa" w:w="85"/>
            </w:tcMar>
          </w:tcPr>
          <w:p>
            <w:pPr>
              <w:spacing w:after="30" w:line="235"/>
            </w:pPr>
            <w:r>
              <w:rPr>
                <w:rFonts w:ascii="Calibri" w:cs="Calibri" w:eastAsia="Calibri" w:hAnsi="Calibri"/>
                <w:sz w:val="15"/>
                <w:szCs w:val="15"/>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5</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15  EXTREME</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3.  Apply neutralising agent from the outside of the spill inwards, slowly. Adding neutraliser fast to a concentrated acid generates heat and spatter.</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4.  Confirm neutralisation with pH paper before absorbing.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5.  Absorb, bag and label for chemical waste disposal.</w:t>
            </w:r>
          </w:p>
        </w:tc>
        <w:tc>
          <w:tcPr>
            <w:tcW w:type="dxa" w:w="3100"/>
            <w:tcMar>
              <w:top w:type="dxa" w:w="55"/>
              <w:left w:type="dxa" w:w="85"/>
              <w:bottom w:type="dxa" w:w="55"/>
              <w:right w:type="dxa" w:w="85"/>
            </w:tcMar>
          </w:tcPr>
          <w:p>
            <w:pPr>
              <w:spacing w:after="0" w:line="235"/>
            </w:pPr>
            <w:r>
              <w:rPr>
                <w:rFonts w:ascii="Calibri" w:cs="Calibri" w:eastAsia="Calibri" w:hAnsi="Calibri"/>
                <w:sz w:val="15"/>
                <w:szCs w:val="15"/>
              </w:rPr>
              <w:t xml:space="preserve">Cross-contamination from a container or cutter not cleaned between points</w:t>
            </w:r>
          </w:p>
        </w:tc>
        <w:tc>
          <w:tcPr>
            <w:tcW w:type="dxa" w:w="5100"/>
            <w:tcMar>
              <w:top w:type="dxa" w:w="55"/>
              <w:left w:type="dxa" w:w="85"/>
              <w:bottom w:type="dxa" w:w="55"/>
              <w:right w:type="dxa" w:w="85"/>
            </w:tcMar>
          </w:tcPr>
          <w:p>
            <w:pPr>
              <w:spacing w:after="0" w:line="235"/>
            </w:pPr>
            <w:r>
              <w:rPr>
                <w:rFonts w:ascii="Calibri" w:cs="Calibri" w:eastAsia="Calibri" w:hAnsi="Calibri"/>
                <w:sz w:val="15"/>
                <w:szCs w:val="15"/>
              </w:rPr>
              <w:t xml:space="preserve">Bucket, container, cutter and sieve rinsed with process water and then with the stream being sampled, and the rinse discarded, before every sample. Dedicated containers for high-grade streams. Labels checked against the schedule before handover.</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3</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9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6.  Ventilate the area and confirm the fume cupboard and general extraction are running.</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Inhalation of acid fume or reagent vapour at the bench</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tcMar>
              <w:top w:type="dxa" w:w="55"/>
              <w:left w:type="dxa" w:w="85"/>
              <w:bottom w:type="dxa" w:w="55"/>
              <w:right w:type="dxa" w:w="85"/>
            </w:tcMar>
          </w:tcPr>
          <w:p>
            <w:pPr>
              <w:spacing w:after="0" w:line="235"/>
            </w:pPr>
            <w:r>
              <w:rPr>
                <w:rFonts w:ascii="Calibri" w:cs="Calibri" w:eastAsia="Calibri" w:hAnsi="Calibri"/>
                <w:sz w:val="15"/>
                <w:szCs w:val="15"/>
              </w:rPr>
              <w:t xml:space="preserve">7.  On skin or eye contact, flood at the safety shower or eyewash for at least 15 minutes and get medical attention. For hydrofluoric acid, apply calcium gluconate gel and treat as a medical emergency regardless of how the skin looks.</w:t>
            </w:r>
          </w:p>
        </w:tc>
        <w:tc>
          <w:tcPr>
            <w:tcW w:type="dxa" w:w="3100"/>
            <w:tcMar>
              <w:top w:type="dxa" w:w="55"/>
              <w:left w:type="dxa" w:w="85"/>
              <w:bottom w:type="dxa" w:w="55"/>
              <w:right w:type="dxa" w:w="85"/>
            </w:tcMar>
          </w:tcPr>
          <w:p>
            <w:pPr>
              <w:spacing w:after="30" w:line="235"/>
            </w:pPr>
            <w:r>
              <w:rPr>
                <w:rFonts w:ascii="Calibri" w:cs="Calibri" w:eastAsia="Calibri" w:hAnsi="Calibri"/>
                <w:sz w:val="15"/>
                <w:szCs w:val="15"/>
              </w:rPr>
              <w:t xml:space="preserve">Contact with sulphuric or hydrochloric acid - burn to skin or eyes</w:t>
            </w:r>
          </w:p>
          <w:p>
            <w:pPr>
              <w:spacing w:after="0" w:line="235"/>
            </w:pPr>
            <w:r>
              <w:rPr>
                <w:rFonts w:ascii="Calibri" w:cs="Calibri" w:eastAsia="Calibri" w:hAnsi="Calibri"/>
                <w:sz w:val="15"/>
                <w:szCs w:val="15"/>
              </w:rPr>
              <w:t xml:space="preserve">Inhalation of acid fume or reagent vapour at the bench</w:t>
            </w:r>
          </w:p>
        </w:tc>
        <w:tc>
          <w:tcPr>
            <w:tcW w:type="dxa" w:w="5100"/>
            <w:tcMar>
              <w:top w:type="dxa" w:w="55"/>
              <w:left w:type="dxa" w:w="85"/>
              <w:bottom w:type="dxa" w:w="55"/>
              <w:right w:type="dxa" w:w="85"/>
            </w:tcMar>
          </w:tcPr>
          <w:p>
            <w:pPr>
              <w:spacing w:after="3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p>
            <w:pPr>
              <w:spacing w:after="0" w:line="235"/>
            </w:pPr>
            <w:r>
              <w:rPr>
                <w:rFonts w:ascii="Calibri" w:cs="Calibri" w:eastAsia="Calibri" w:hAnsi="Calibri"/>
                <w:sz w:val="15"/>
                <w:szCs w:val="15"/>
              </w:rPr>
              <w:t xml:space="preserve">Work carried out inside the fume cupboard with the sash at the marked working height and the airflow confirmed before starting. Scrubber running and its dosing confirmed. Perchloric work only in the cupboard rated for it, with the washdown routine after every use. No work at an open bench.</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r>
        <w:tc>
          <w:tcPr>
            <w:tcW w:type="dxa" w:w="25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8.  Report and record every spill.</w:t>
            </w:r>
          </w:p>
        </w:tc>
        <w:tc>
          <w:tcPr>
            <w:tcW w:type="dxa" w:w="3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Contact with sulphuric or hydrochloric acid - burn to skin or eyes</w:t>
            </w:r>
          </w:p>
        </w:tc>
        <w:tc>
          <w:tcPr>
            <w:tcW w:type="dxa" w:w="51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Full acid PPE including face shield, acid-resistant gloves, apron and boots. Sample drawn only from the designated sample valve. Add acid to water, never the reverse. Safety shower and eyewash within reach and proven flowing. Spill kit at the point.</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2</w:t>
            </w:r>
          </w:p>
        </w:tc>
        <w:tc>
          <w:tcPr>
            <w:tcW w:type="dxa" w:w="50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4</w:t>
            </w:r>
          </w:p>
        </w:tc>
        <w:tc>
          <w:tcPr>
            <w:tcW w:type="dxa" w:w="1350"/>
            <w:shd w:val="clear" w:color="auto" w:fill="F2F5FA"/>
            <w:tcMar>
              <w:top w:type="dxa" w:w="55"/>
              <w:left w:type="dxa" w:w="85"/>
              <w:bottom w:type="dxa" w:w="55"/>
              <w:right w:type="dxa" w:w="85"/>
            </w:tcMar>
          </w:tcPr>
          <w:p>
            <w:pPr>
              <w:jc w:val="center"/>
              <w:spacing w:after="0" w:line="235"/>
            </w:pPr>
            <w:r>
              <w:rPr>
                <w:rFonts w:ascii="Calibri" w:cs="Calibri" w:eastAsia="Calibri" w:hAnsi="Calibri"/>
                <w:sz w:val="15"/>
                <w:szCs w:val="15"/>
              </w:rPr>
              <w:t xml:space="preserve">8  MEDIUM</w:t>
            </w:r>
          </w:p>
        </w:tc>
        <w:tc>
          <w:tcPr>
            <w:tcW w:type="dxa" w:w="1200"/>
            <w:shd w:val="clear" w:color="auto" w:fill="F2F5FA"/>
            <w:tcMar>
              <w:top w:type="dxa" w:w="55"/>
              <w:left w:type="dxa" w:w="85"/>
              <w:bottom w:type="dxa" w:w="55"/>
              <w:right w:type="dxa" w:w="85"/>
            </w:tcMar>
          </w:tcPr>
          <w:p>
            <w:pPr>
              <w:spacing w:after="0" w:line="235"/>
            </w:pPr>
            <w:r>
              <w:rPr>
                <w:rFonts w:ascii="Calibri" w:cs="Calibri" w:eastAsia="Calibri" w:hAnsi="Calibri"/>
                <w:sz w:val="15"/>
                <w:szCs w:val="15"/>
              </w:rPr>
              <w:t xml:space="preserve">Met Lab Technician</w:t>
            </w:r>
          </w:p>
        </w:tc>
      </w:tr>
    </w:tbl>
    <w:p>
      <w:pPr>
        <w:spacing w:after="60" w:before="0" w:line="245"/>
      </w:pPr>
    </w:p>
    <w:p>
      <w:pPr>
        <w:pStyle w:val="Heading1"/>
        <w:spacing w:after="120" w:before="260"/>
      </w:pPr>
      <w:r>
        <w:rPr>
          <w:rFonts w:ascii="Calibri" w:cs="Calibri" w:eastAsia="Calibri" w:hAnsi="Calibri"/>
          <w:b/>
          <w:bCs/>
          <w:color w:val="1F3864"/>
          <w:sz w:val="24"/>
          <w:szCs w:val="24"/>
        </w:rPr>
        <w:t xml:space="preserve">5  PPE</w:t>
      </w:r>
    </w:p>
    <w:p>
      <w:pPr>
        <w:spacing w:after="60" w:before="0" w:line="245"/>
      </w:pPr>
      <w:r>
        <w:rPr>
          <w:rFonts w:ascii="Calibri" w:cs="Calibri" w:eastAsia="Calibri" w:hAnsi="Calibri"/>
          <w:sz w:val="17"/>
          <w:szCs w:val="17"/>
        </w:rPr>
        <w:t xml:space="preserve">Standard PPE is worn for all normal operations in the Mt. Morgan gold processing plant. The following is required for this task.</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Acid-resistant gloves, apron and face shield</w:t>
      </w:r>
    </w:p>
    <w:p>
      <w:pPr>
        <w:pStyle w:val="ListParagraph"/>
        <w:numPr>
          <w:ilvl w:val="0"/>
          <w:numId w:val="1"/>
        </w:numPr>
        <w:spacing w:after="60" w:line="245"/>
      </w:pPr>
      <w:r>
        <w:rPr>
          <w:rFonts w:ascii="Calibri" w:cs="Calibri" w:eastAsia="Calibri" w:hAnsi="Calibri"/>
          <w:sz w:val="17"/>
          <w:szCs w:val="17"/>
        </w:rPr>
        <w:t xml:space="preserve">Chemical splash goggles</w:t>
      </w:r>
    </w:p>
    <w:p>
      <w:pPr>
        <w:pStyle w:val="Heading1"/>
        <w:spacing w:after="120" w:before="260"/>
      </w:pPr>
      <w:r>
        <w:rPr>
          <w:rFonts w:ascii="Calibri" w:cs="Calibri" w:eastAsia="Calibri" w:hAnsi="Calibri"/>
          <w:b/>
          <w:bCs/>
          <w:color w:val="1F3864"/>
          <w:sz w:val="24"/>
          <w:szCs w:val="24"/>
        </w:rPr>
        <w:t xml:space="preserve">6  PROCEDURE</w:t>
      </w:r>
    </w:p>
    <w:p>
      <w:pPr>
        <w:spacing w:after="90" w:before="180" w:line="245"/>
        <w:keepNext/>
      </w:pPr>
      <w:r>
        <w:rPr>
          <w:rFonts w:ascii="Calibri" w:cs="Calibri" w:eastAsia="Calibri" w:hAnsi="Calibri"/>
          <w:b/>
          <w:bCs/>
          <w:color w:val="1F3864"/>
          <w:sz w:val="19"/>
          <w:szCs w:val="19"/>
        </w:rPr>
        <w:t xml:space="preserve">6.1  Introduction</w:t>
      </w:r>
    </w:p>
    <w:p>
      <w:pPr>
        <w:spacing w:after="60" w:before="0" w:line="245"/>
      </w:pPr>
      <w:r>
        <w:rPr>
          <w:rFonts w:ascii="Calibri" w:cs="Calibri" w:eastAsia="Calibri" w:hAnsi="Calibri"/>
          <w:b/>
          <w:bCs/>
          <w:sz w:val="17"/>
          <w:szCs w:val="17"/>
        </w:rPr>
        <w:t xml:space="preserve">Warning: many operations on the gold processing plant are automated and equipment may start or stop without warning. It is the operator's responsibility to ensure the safety of all personnel working on the plant at all times.</w:t>
      </w:r>
    </w:p>
    <w:p>
      <w:pPr>
        <w:spacing w:after="60" w:before="0" w:line="245"/>
      </w:pPr>
      <w:r>
        <w:rPr>
          <w:rFonts w:ascii="Calibri" w:cs="Calibri" w:eastAsia="Calibri" w:hAnsi="Calibri"/>
          <w:sz w:val="17"/>
          <w:szCs w:val="17"/>
        </w:rPr>
        <w:t xml:space="preserve">Points and equipment covered by this task:</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3200"/>
        <w:gridCol w:w="11638"/>
      </w:tblGrid>
      <w:tr>
        <w:trPr>
          <w:tblHeader/>
        </w:trPr>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116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3200"/>
            <w:tcMar>
              <w:top w:type="dxa" w:w="55"/>
              <w:left w:type="dxa" w:w="85"/>
              <w:bottom w:type="dxa" w:w="55"/>
              <w:right w:type="dxa" w:w="85"/>
            </w:tcMar>
          </w:tcPr>
          <w:p>
            <w:pPr>
              <w:spacing w:after="0" w:line="235"/>
            </w:pPr>
            <w:r>
              <w:rPr>
                <w:rFonts w:ascii="Calibri" w:cs="Calibri" w:eastAsia="Calibri" w:hAnsi="Calibri"/>
                <w:sz w:val="16"/>
                <w:szCs w:val="16"/>
              </w:rPr>
              <w:t xml:space="preserve">Met lab bench</w:t>
            </w:r>
          </w:p>
        </w:tc>
        <w:tc>
          <w:tcPr>
            <w:tcW w:type="dxa" w:w="11638"/>
            <w:tcMar>
              <w:top w:type="dxa" w:w="55"/>
              <w:left w:type="dxa" w:w="85"/>
              <w:bottom w:type="dxa" w:w="55"/>
              <w:right w:type="dxa" w:w="85"/>
            </w:tcMar>
          </w:tcPr>
          <w:p>
            <w:pPr>
              <w:spacing w:after="0" w:line="235"/>
            </w:pPr>
            <w:r>
              <w:rPr>
                <w:rFonts w:ascii="Calibri" w:cs="Calibri" w:eastAsia="Calibri" w:hAnsi="Calibri"/>
                <w:sz w:val="16"/>
                <w:szCs w:val="16"/>
              </w:rPr>
              <w:t xml:space="preserve">Physical testwork bench and instrument</w:t>
            </w:r>
          </w:p>
        </w:tc>
      </w:tr>
    </w:tbl>
    <w:p>
      <w:pPr>
        <w:spacing w:after="60" w:before="0" w:line="245"/>
      </w:pPr>
    </w:p>
    <w:p>
      <w:pPr>
        <w:spacing w:after="60" w:before="0" w:line="245"/>
      </w:pPr>
      <w:r>
        <w:rPr>
          <w:rFonts w:ascii="Calibri" w:cs="Calibri" w:eastAsia="Calibri" w:hAnsi="Calibri"/>
          <w:sz w:val="17"/>
          <w:szCs w:val="17"/>
        </w:rPr>
        <w:t xml:space="preserve">Frequency: Every acid handling task; drill at the set interval.</w:t>
      </w:r>
    </w:p>
    <w:p>
      <w:pPr>
        <w:spacing w:after="90" w:before="180" w:line="245"/>
        <w:keepNext/>
      </w:pPr>
      <w:r>
        <w:rPr>
          <w:rFonts w:ascii="Calibri" w:cs="Calibri" w:eastAsia="Calibri" w:hAnsi="Calibri"/>
          <w:b/>
          <w:bCs/>
          <w:color w:val="1F3864"/>
          <w:sz w:val="19"/>
          <w:szCs w:val="19"/>
        </w:rPr>
        <w:t xml:space="preserve">6.2  Job steps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Contain the spill first, then neutralise. Never flush an acid spill to drain untreated.</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Where the spill is anywhere near cyanide-bearing material or waste, treat it as a potential HCN release - evacuate, raise the alarm and do not attempt to clean it up unprotected.</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Apply neutralising agent from the outside of the spill inwards, slowly. Adding neutraliser fast to a concentrated acid generates heat and spatter.</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Confirm neutralisation with pH paper before absorbing.</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Absorb, bag and label for chemical waste disposal.</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Ventilate the area and confirm the fume cupboard and general extraction are running.</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On skin or eye contact, flood at the safety shower or eyewash for at least 15 minutes and get medical attention. For hydrofluoric acid, apply calcium gluconate gel and treat as a medical emergency regardless of how the skin looks.</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Report and record every spill.</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Hazchem spill kit</w:t>
      </w:r>
    </w:p>
    <w:p>
      <w:pPr>
        <w:pStyle w:val="ListParagraph"/>
        <w:numPr>
          <w:ilvl w:val="0"/>
          <w:numId w:val="1"/>
        </w:numPr>
        <w:spacing w:after="60" w:line="245"/>
      </w:pPr>
      <w:r>
        <w:rPr>
          <w:rFonts w:ascii="Calibri" w:cs="Calibri" w:eastAsia="Calibri" w:hAnsi="Calibri"/>
          <w:sz w:val="17"/>
          <w:szCs w:val="17"/>
        </w:rPr>
        <w:t xml:space="preserve">Neutralising agent - soda ash or proprietary acid neutraliser</w:t>
      </w:r>
    </w:p>
    <w:p>
      <w:pPr>
        <w:pStyle w:val="ListParagraph"/>
        <w:numPr>
          <w:ilvl w:val="0"/>
          <w:numId w:val="1"/>
        </w:numPr>
        <w:spacing w:after="60" w:line="245"/>
      </w:pPr>
      <w:r>
        <w:rPr>
          <w:rFonts w:ascii="Calibri" w:cs="Calibri" w:eastAsia="Calibri" w:hAnsi="Calibri"/>
          <w:sz w:val="17"/>
          <w:szCs w:val="17"/>
        </w:rPr>
        <w:t xml:space="preserve">Safety shower and eyewash</w:t>
      </w:r>
    </w:p>
    <w:p>
      <w:pPr>
        <w:pStyle w:val="ListParagraph"/>
        <w:numPr>
          <w:ilvl w:val="0"/>
          <w:numId w:val="1"/>
        </w:numPr>
        <w:spacing w:after="60" w:line="245"/>
      </w:pPr>
      <w:r>
        <w:rPr>
          <w:rFonts w:ascii="Calibri" w:cs="Calibri" w:eastAsia="Calibri" w:hAnsi="Calibri"/>
          <w:sz w:val="17"/>
          <w:szCs w:val="17"/>
        </w:rPr>
        <w:t xml:space="preserve">Acid PPE</w:t>
      </w:r>
    </w:p>
    <w:p>
      <w:pPr>
        <w:pStyle w:val="ListParagraph"/>
        <w:numPr>
          <w:ilvl w:val="0"/>
          <w:numId w:val="1"/>
        </w:numPr>
        <w:spacing w:after="60" w:line="245"/>
      </w:pPr>
      <w:r>
        <w:rPr>
          <w:rFonts w:ascii="Calibri" w:cs="Calibri" w:eastAsia="Calibri" w:hAnsi="Calibri"/>
          <w:sz w:val="17"/>
          <w:szCs w:val="17"/>
        </w:rPr>
        <w:t xml:space="preserve">Waste containers</w:t>
      </w:r>
    </w:p>
    <w:p>
      <w:pPr>
        <w:pStyle w:val="ListParagraph"/>
        <w:numPr>
          <w:ilvl w:val="0"/>
          <w:numId w:val="1"/>
        </w:numPr>
        <w:spacing w:after="60" w:line="245"/>
      </w:pPr>
      <w:r>
        <w:rPr>
          <w:rFonts w:ascii="Calibri" w:cs="Calibri" w:eastAsia="Calibri" w:hAnsi="Calibri"/>
          <w:sz w:val="17"/>
          <w:szCs w:val="17"/>
        </w:rPr>
        <w:t xml:space="preserve">Fume cupboard</w:t>
      </w:r>
    </w:p>
    <w:p>
      <w:pPr>
        <w:pStyle w:val="Heading1"/>
        <w:spacing w:after="120" w:before="260"/>
      </w:pPr>
      <w:r>
        <w:rPr>
          <w:rFonts w:ascii="Calibri" w:cs="Calibri" w:eastAsia="Calibri" w:hAnsi="Calibri"/>
          <w:b/>
          <w:bCs/>
          <w:color w:val="1F3864"/>
          <w:sz w:val="24"/>
          <w:szCs w:val="24"/>
        </w:rPr>
        <w:t xml:space="preserve">7  FLOWCHART</w:t>
      </w:r>
    </w:p>
    <w:p>
      <w:pPr>
        <w:spacing w:after="60" w:before="0" w:line="245"/>
      </w:pPr>
      <w:r>
        <w:rPr>
          <w:rFonts w:ascii="Calibri" w:cs="Calibri" w:eastAsia="Calibri" w:hAnsi="Calibri"/>
          <w:sz w:val="17"/>
          <w:szCs w:val="17"/>
        </w:rPr>
        <w:t xml:space="preserve">Not reproduced in this document. The step sequence is in work instruction SWI-PRO-MET-206-006 Section 6, which is the controlled version of the method.</w:t>
      </w:r>
    </w:p>
    <w:p>
      <w:pPr>
        <w:pStyle w:val="Heading1"/>
        <w:spacing w:after="120" w:before="260"/>
      </w:pPr>
      <w:r>
        <w:rPr>
          <w:rFonts w:ascii="Calibri" w:cs="Calibri" w:eastAsia="Calibri" w:hAnsi="Calibri"/>
          <w:b/>
          <w:bCs/>
          <w:color w:val="1F3864"/>
          <w:sz w:val="24"/>
          <w:szCs w:val="24"/>
        </w:rPr>
        <w:t xml:space="preserve">8  TRAINING</w:t>
      </w:r>
    </w:p>
    <w:p>
      <w:pPr>
        <w:spacing w:after="60" w:before="0" w:line="245"/>
      </w:pPr>
      <w:r>
        <w:rPr>
          <w:rFonts w:ascii="Calibri" w:cs="Calibri" w:eastAsia="Calibri" w:hAnsi="Calibri"/>
          <w:sz w:val="17"/>
          <w:szCs w:val="17"/>
        </w:rPr>
        <w:t xml:space="preserve">Every person carrying out this task has been through this JSEA at a communication session recorded on the sign-on sheet at the end of this document, and is trained and signed off against work instruction SWI-PRO-MET-206-006.</w:t>
      </w:r>
    </w:p>
    <w:p>
      <w:pPr>
        <w:pStyle w:val="ListParagraph"/>
        <w:numPr>
          <w:ilvl w:val="0"/>
          <w:numId w:val="1"/>
        </w:numPr>
        <w:spacing w:after="60" w:line="245"/>
      </w:pPr>
      <w:r>
        <w:rPr>
          <w:rFonts w:ascii="Calibri" w:cs="Calibri" w:eastAsia="Calibri" w:hAnsi="Calibri"/>
          <w:sz w:val="17"/>
          <w:szCs w:val="17"/>
        </w:rPr>
        <w:t xml:space="preserve">Site induction, current.</w:t>
      </w:r>
    </w:p>
    <w:p>
      <w:pPr>
        <w:pStyle w:val="ListParagraph"/>
        <w:numPr>
          <w:ilvl w:val="0"/>
          <w:numId w:val="1"/>
        </w:numPr>
        <w:spacing w:after="60" w:line="245"/>
      </w:pPr>
      <w:r>
        <w:rPr>
          <w:rFonts w:ascii="Calibri" w:cs="Calibri" w:eastAsia="Calibri" w:hAnsi="Calibri"/>
          <w:sz w:val="17"/>
          <w:szCs w:val="17"/>
        </w:rPr>
        <w:t xml:space="preserve">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Working at height competency where the task requires it.</w:t>
      </w:r>
    </w:p>
    <w:p>
      <w:pPr>
        <w:pStyle w:val="ListParagraph"/>
        <w:numPr>
          <w:ilvl w:val="0"/>
          <w:numId w:val="1"/>
        </w:numPr>
        <w:spacing w:after="60" w:line="245"/>
      </w:pPr>
      <w:r>
        <w:rPr>
          <w:rFonts w:ascii="Calibri" w:cs="Calibri" w:eastAsia="Calibri" w:hAnsi="Calibri"/>
          <w:sz w:val="17"/>
          <w:szCs w:val="17"/>
        </w:rPr>
        <w:t xml:space="preserve">Competency in the determinations and calculations carried out in this task.</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KBK-MIR-LAB-WET-SOP-051 Acid spill handling</w:t>
      </w:r>
    </w:p>
    <w:p>
      <w:pPr>
        <w:pStyle w:val="ListParagraph"/>
        <w:numPr>
          <w:ilvl w:val="0"/>
          <w:numId w:val="1"/>
        </w:numPr>
        <w:spacing w:after="60" w:line="245"/>
      </w:pPr>
      <w:r>
        <w:rPr>
          <w:rFonts w:ascii="Calibri" w:cs="Calibri" w:eastAsia="Calibri" w:hAnsi="Calibri"/>
          <w:sz w:val="17"/>
          <w:szCs w:val="17"/>
        </w:rPr>
        <w:t xml:space="preserve">ILS quotation Q0023979 - 120 L hazchem spill kit, safety shower and eye wash stations</w:t>
      </w:r>
    </w:p>
    <w:p>
      <w:pPr>
        <w:pStyle w:val="Heading1"/>
        <w:spacing w:after="120" w:before="260"/>
      </w:pPr>
      <w:r>
        <w:rPr>
          <w:rFonts w:ascii="Calibri" w:cs="Calibri" w:eastAsia="Calibri" w:hAnsi="Calibri"/>
          <w:b/>
          <w:bCs/>
          <w:color w:val="1F3864"/>
          <w:sz w:val="24"/>
          <w:szCs w:val="24"/>
        </w:rPr>
        <w:t xml:space="preserve">10  REVIEW</w:t>
      </w:r>
    </w:p>
    <w:p>
      <w:pPr>
        <w:spacing w:after="60" w:before="0" w:line="245"/>
      </w:pPr>
      <w:r>
        <w:rPr>
          <w:rFonts w:ascii="Calibri" w:cs="Calibri" w:eastAsia="Calibri" w:hAnsi="Calibri"/>
          <w:sz w:val="17"/>
          <w:szCs w:val="17"/>
        </w:rPr>
        <w:t xml:space="preserve">This JSEA is reviewed every 12 months, and immediately after any incident, near miss, plant change or change to the schedule affecting this task.</w:t>
      </w:r>
    </w:p>
    <w:p>
      <w:r>
        <w:br w:type="page"/>
      </w:r>
    </w:p>
    <w:p>
      <w:pPr>
        <w:pStyle w:val="Heading1"/>
        <w:spacing w:after="120" w:before="260"/>
      </w:pPr>
      <w:r>
        <w:rPr>
          <w:rFonts w:ascii="Calibri" w:cs="Calibri" w:eastAsia="Calibri" w:hAnsi="Calibri"/>
          <w:b/>
          <w:bCs/>
          <w:color w:val="1F3864"/>
          <w:sz w:val="24"/>
          <w:szCs w:val="24"/>
        </w:rPr>
        <w:t xml:space="preserve">JSEA COMMUNICATION AND AWARENESS</w:t>
      </w: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2400"/>
        <w:gridCol w:w="12438"/>
      </w:tblGrid>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Presented by</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4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12438"/>
            <w:tcMar>
              <w:top w:type="dxa" w:w="55"/>
              <w:left w:type="dxa" w:w="85"/>
              <w:bottom w:type="dxa" w:w="55"/>
              <w:right w:type="dxa" w:w="85"/>
            </w:tcMar>
          </w:tcPr>
          <w:p>
            <w:pPr>
              <w:spacing w:after="0" w:line="235"/>
            </w:pPr>
            <w:r>
              <w:rPr>
                <w:rFonts w:ascii="Calibri" w:cs="Calibri" w:eastAsia="Calibri" w:hAnsi="Calibri"/>
                <w:sz w:val="17"/>
                <w:szCs w:val="17"/>
              </w:rPr>
              <w:t xml:space="preserve">JSEA-PRO-MET-206-006</w:t>
            </w:r>
          </w:p>
        </w:tc>
      </w:tr>
    </w:tbl>
    <w:p>
      <w:pPr>
        <w:spacing w:after="100" w:before="0" w:line="245"/>
      </w:pPr>
    </w:p>
    <w:tbl>
      <w:tblPr>
        <w:tblW w:type="dxa" w:w="14838"/>
        <w:tblBorders>
          <w:top w:val="single" w:color="auto" w:sz="4"/>
          <w:left w:val="single" w:color="auto" w:sz="4"/>
          <w:bottom w:val="single" w:color="auto" w:sz="4"/>
          <w:right w:val="single" w:color="auto" w:sz="4"/>
          <w:insideH w:val="single" w:color="auto" w:sz="4"/>
          <w:insideV w:val="single" w:color="auto" w:sz="4"/>
        </w:tblBorders>
      </w:tblPr>
      <w:tblGrid>
        <w:gridCol w:w="4200"/>
        <w:gridCol w:w="3600"/>
        <w:gridCol w:w="3200"/>
        <w:gridCol w:w="3838"/>
      </w:tblGrid>
      <w:tr>
        <w:trPr>
          <w:tblHeader/>
        </w:trPr>
        <w:tc>
          <w:tcPr>
            <w:tcW w:type="dxa" w:w="4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Name</w:t>
            </w:r>
          </w:p>
        </w:tc>
        <w:tc>
          <w:tcPr>
            <w:tcW w:type="dxa" w:w="3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Position</w:t>
            </w:r>
          </w:p>
        </w:tc>
        <w:tc>
          <w:tcPr>
            <w:tcW w:type="dxa" w:w="32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Department</w:t>
            </w:r>
          </w:p>
        </w:tc>
        <w:tc>
          <w:tcPr>
            <w:tcW w:type="dxa" w:w="3838"/>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Signature</w:t>
            </w: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r>
        <w:tc>
          <w:tcPr>
            <w:tcW w:type="dxa" w:w="4200"/>
            <w:tcMar>
              <w:top w:type="dxa" w:w="55"/>
              <w:left w:type="dxa" w:w="85"/>
              <w:bottom w:type="dxa" w:w="55"/>
              <w:right w:type="dxa" w:w="85"/>
            </w:tcMar>
          </w:tcPr>
          <w:p>
            <w:pPr>
              <w:spacing w:after="0" w:line="235"/>
            </w:pPr>
          </w:p>
        </w:tc>
        <w:tc>
          <w:tcPr>
            <w:tcW w:type="dxa" w:w="3600"/>
            <w:tcMar>
              <w:top w:type="dxa" w:w="55"/>
              <w:left w:type="dxa" w:w="85"/>
              <w:bottom w:type="dxa" w:w="55"/>
              <w:right w:type="dxa" w:w="85"/>
            </w:tcMar>
          </w:tcPr>
          <w:p>
            <w:pPr>
              <w:spacing w:after="0" w:line="235"/>
            </w:pPr>
          </w:p>
        </w:tc>
        <w:tc>
          <w:tcPr>
            <w:tcW w:type="dxa" w:w="3200"/>
            <w:tcMar>
              <w:top w:type="dxa" w:w="55"/>
              <w:left w:type="dxa" w:w="85"/>
              <w:bottom w:type="dxa" w:w="55"/>
              <w:right w:type="dxa" w:w="85"/>
            </w:tcMar>
          </w:tcPr>
          <w:p>
            <w:pPr>
              <w:spacing w:after="0" w:line="235"/>
            </w:pPr>
          </w:p>
        </w:tc>
        <w:tc>
          <w:tcPr>
            <w:tcW w:type="dxa" w:w="3838"/>
            <w:tcMar>
              <w:top w:type="dxa" w:w="55"/>
              <w:left w:type="dxa" w:w="85"/>
              <w:bottom w:type="dxa" w:w="55"/>
              <w:right w:type="dxa" w:w="85"/>
            </w:tcMar>
          </w:tcPr>
          <w:p>
            <w:pPr>
              <w:spacing w:after="0" w:line="235"/>
            </w:pPr>
          </w:p>
        </w:tc>
      </w:tr>
    </w:tbl>
    <w:p>
      <w:pPr>
        <w:spacing w:after="60" w:before="0" w:line="245"/>
      </w:pPr>
    </w:p>
    <w:sectPr>
      <w:headerReference w:type="default" r:id="rId7"/>
      <w:footerReference w:type="default" r:id="rId8"/>
      <w:pgSz w:w="16838" w:h="11906" w:orient="landscape"/>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JSEA-PRO-MET-206-006  ·  Acid Spill Response and Neutralisation  ·  Rev 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