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Resin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resin batches separately from carbon and from plant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dedicated resin glassware and crucibles. Resin ash behaves differently to carbon ash and the carry-over risk is different.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pattern from the batch sheet before any sample is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Insert quality control samples appropriate to resin. KBK's carbon standards are not a substitute.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pattern with a second person.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resin type - GG1200M or GG1200C - against the batch, because the ashing and digest behaviour differ.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JSEA-PRO-LAB-302-004 Sample Pattern Set-Up - Resin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