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AAS Sample Reading - Gold and Silver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HM-MMM-WHS-FRM-031-R03-JSEA-PRO-LAB-303-002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Fit the correct lamp for the element and allow it the warm-up period the manual states. A cold lamp drifts.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Set the wavelength, slit and lamp current to the PerkinElmer method values, not to values carried over from a GBC method.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Calibrate across the standard range before reading any sample, and confirm the correlation meets the acceptance criterion.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Read the quality control samples at the positions the batch sheet specifies.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Read samples in batch order, aspirating blank between each.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Re-read a drift check standard at the interval the method sets. Where drift exceeds tolerance, recalibrate and re-read everything back to the last good check.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Dilute and re-read any sample above the top standard. Never extrapolate above the calibration.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dilution factor with every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JSEA-PRO-LAB-303-002 AAS Sample Reading - Gold and Silver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