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Gold Elution, Electrowinning and Pre-Soak Solution Sampling (061 / 062 Gold recovery)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with the control room where the batch is in the elution sequence before approaching.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Mercury vapour in the gold room, elution and retort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 before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Mercury vapour monitoring where the site procedure requires 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eating, drinking or smoking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Hands washed before leaving the area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Do NOT sample a column that is under pressure or on a heating cycle. Confirm the circuit is at the sampling condition stated in the elution procedure.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Flush the sample line and let the first flow discharge to drain until the temperature at the point is steady.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Collect into a heat-resistant bottle held below the point, not in line with the discharge.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Allow the sample to cool before taking pH or titrating - a hot cyanide solution releases HCN faster and gives a false reading.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Bottle and label for gold, silver and copper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Mercury vapour in the gold room, elution and retort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 before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Mercury vapour monitoring where the site procedure requires 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eating, drinking or smoking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Hands washed before leaving the area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batch number, elution stage, solution temperature and flow at the time of sampling.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Mercury vapour in the gold room, elution and retort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 before entry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Mercury vapour monitoring where the site procedure requires 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eating, drinking or smoking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Hands washed before leaving the area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JSEA-PRO-MET-201-013 Gold Elution, Electrowinning and Pre-Soak Solution Sampling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