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Sampling During Start-Up, Shutdown and Upset Conditions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HM-MMM-WHS-FRM-031-R03-JSEA-PRO-MET-201-024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Establish from the control room what state the plant is in before going out. Do not assume.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During start-up, do not sample a line until flow has been established and held for the period the circuit procedure states. A sample from a part-full line is meaningless and the line may surge when flow arrives.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During shutdown, sample only where the circuit procedure calls for it. Lines being drained and flushed can discharge without warning.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Mark every sample taken outside steady state as OFF-CONDITION on the label and in the register, with the plant state written on it. An unmarked off-condition sample corrupts the shift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Do NOT sample at all during: a gas alarm, a reagent spill response, a power interruption, a confined space entry in the area, or any time the Shift Supervisor has restricted access.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During an upset, the priority is the plant and the people, not the sample. A missed sample is recorded as missed. It is never invented or back-filled.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Once steady state is re-established, note the time and restart the routine schedule from the next full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to the metallurgist which samples were missed and why, so the shift balance is not closed on a gap nobody knows about.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JSEA-PRO-MET-201-024 Sampling During Start-Up, Shutdown and Upset Conditions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