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Bullion Reconciliation Against Refinery Outturn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dispatch record is complete - bar numbers, weights, site assays, seal numbers, carrier and date - and countersigned by two people.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On receipt of the refinery outturn, compare bar by bar against the site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Reconcile weight first, then assay. A weight difference is a handling or scale problem; an assay difference is a laboratory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Where the difference exceeds the settlement tolerance, request an umpire assay before accepting the outturn.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Track the site-to-refinery assay difference over time. A consistent bias in one direction is a laboratory calibration issue, not chance.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Feed the accepted outturn into the monthly metal accounting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File the outturn statement against the dispatch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JSEA-PRO-MET-202-008 Bullion Reconciliation Against Refinery Outturn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