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Oxygen Utilisation and Sparger Performance Survey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HM-MMM-WHS-FRM-031-R03-JSEA-PRO-MET-203-012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the oxygen supply pressure and flow to each sparger from the control system.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Measure dissolved oxygen at several depths and positions in the tank, not at one point. A single reading at the launder does not describe the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the DO reading immediately on sampling - atmospheric exchange starts as soon as the sample is drawn.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Calculate oxygen utilisation from the injected flow and the measured dissolved oxygen against the consumption implied by the leach rate.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the sparger operating pressure against the Hypersparge instructions. A sparger operating below its design pressure is not atomising.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Inspect the sparger condition against the vendor criteria where access allows.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utilisation, the DO profile and any sparger due for cleaning or replacement.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JSEA-PRO-MET-203-012 Oxygen Utilisation and Sparger Performance Survey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