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Static and Dynamic Settling Test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HM-MMM-WHS-FRM-031-R03-JSEA-PRO-MET-204-009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Flocculant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Prepare the sample at the thickener feed density and record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Make up flocculant at the plant strength. A test run on differently prepared flocculant does not transfer to the plant.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Fill the cylinder, add the flocculant dose and mix with the plunger using the standard number of strokes. Over-mixing shears the floc and understates the settling rate.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Start the clock and record the interface height at set intervals.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Continue until the interface stops moving, then record the compaction over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Repeat at three or more flocculant doses to find the response curve.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Calculate the settling rate and the achievable underflow density for each dose.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the optimum dose and the flux against the thickener design basis.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JSEA-PRO-MET-204-009 Static and Dynamic Settling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