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Activity and Ball-Pan Hardness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For activity, contact a weighed carbon sample with K[Ag(CN)2] solution of known strength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Assay the residual solution and calculate the activity as the proportion adsorbed against the reference.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hardness, screen the carbon to the test size fraction and weigh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ball-pan apparatus for the standard number of cycles with the standard ball 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Re-screen and weigh the fraction retained on the test screen.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the hardness number from the mass retained.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activity and hardness together with the number of regeneration cycles the carbon has seen.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JSEA-PRO-MET-205-011 Carbon Activity and Ball-Pan Hardness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