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Resin Fouling, Osmotic Shock and Bead Integrity Assessment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HM-MMM-WHS-FRM-031-R03-JSEA-PRO-MET-205-014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(H2SO4); 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Take the resin sample from the transfer stream, not from a settled hopper.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Wash free of slurry over the retention aperture.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Run the bead size distribution per the resin PSD method and record the fraction below the retention aperture.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Count a subsample for whole, cracked and broken beads and report whole bead count as a percentage.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Inspect for fouling - discolouration, coating and change in bulk density against fresh resin.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Where fouling is suspected, run the acid and caustic wash sequence at the bench and re-measure capacity against an unwashed split.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Trend all measures against the conditioning and transfer history.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against the acceptance criteria once Goldquip supplies them - until then, report the trend only.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JSEA-PRO-MET-205-014 Resin Fouling, Osmotic Shock and Bead Integrity Assessment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