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Acid Spill Response and Neutralisation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Contain the spill first, then neutralise. Never flush an acid spill to drain untreated.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Where the spill is anywhere near cyanide-bearing material or waste, treat it as a potential HCN release - evacuate, raise the alarm and do not attempt to clean it up unprotected.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Apply neutralising agent from the outside of the spill inwards, slowly. Adding neutraliser fast to a concentrated acid generates heat and spatter.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neutralisation with pH paper before absorbing.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Absorb, bag and label for chemical waste disposal.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Ventilate the area and confirm the fume cupboard and general extraction are running.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On skin or eye contact, flood at the safety shower or eyewash for at least 15 minutes and get medical attention. For hydrofluoric acid, apply calcium gluconate gel and treat as a medical emergency regardless of how the skin looks.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and record every spill.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JSEA-PRO-MET-206-006 Acid Spill Response and Neutralisation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