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Reagent Solution Strength Sampling - NaCN, NaOH, H2SO4, NaCl, Lime and NaSH</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JSEA-PRO-MET-201-020</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101 to 107 Reagents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'Sampling Feed, Product and Final Product of Lime Slaker' (DOC-3-MET-PRS-WIN-00059-IE) as Part B, 'Sampling Hydrated Lime' (DOC-3-MET-PRS-WIN-00061-IE) as Part C and 'ReCYN Plant Caustic Strength Measurement' (DOC-3-MET-PMC-WIN-00088-IE) as Part D added to Section 6, all v1.0 issued 25/12/2024. Not approved until reviewed. JSEA JSEA-PRO-MET-201-020 must be updated for the added hazard rows.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Confirm every made-up reagent is at the strength the process assumes before it is dosed.</w:t>
      </w:r>
    </w:p>
    <w:p>
      <w:pPr>
        <w:spacing w:after="60" w:before="0" w:line="245"/>
      </w:pPr>
      <w:r>
        <w:rPr>
          <w:rFonts w:ascii="Calibri" w:cs="Calibri" w:eastAsia="Calibri" w:hAnsi="Calibri"/>
          <w:sz w:val="17"/>
          <w:szCs w:val="17"/>
        </w:rPr>
        <w:t xml:space="preserve">A reagent made up off-strength is dosed at the wrong rate everywhere it is used, and the error is not visible until the circuit drifts.</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101</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Sodium cyanide - solution and briquettes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102</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Sodium hydroxide - diluted</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103</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Lime - slaked slurry</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104</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Sodium chloride - made-up solution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105</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Sulphuric acid - diluted</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107</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Sodium hydrosulphide - as delivered and dosed</w:t>
            </w:r>
          </w:p>
        </w:tc>
      </w:tr>
    </w:tbl>
    <w:p>
      <w:pPr>
        <w:spacing w:after="60" w:before="0" w:line="245"/>
      </w:pPr>
    </w:p>
    <w:p>
      <w:pPr>
        <w:spacing w:after="60" w:before="0" w:line="245"/>
      </w:pPr>
      <w:r>
        <w:rPr>
          <w:rFonts w:ascii="Calibri" w:cs="Calibri" w:eastAsia="Calibri" w:hAnsi="Calibri"/>
          <w:sz w:val="17"/>
          <w:szCs w:val="17"/>
        </w:rPr>
        <w:t xml:space="preserve">Frequency: Every batch made up, and once per shift on the standing solutions.</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SWI-PRO-MET-201-020 in HM-MMM-WHS-REG-XXX-R00-SWI-SWMS, tab SWI-MET. The matching hazard analysis is JSEA-PRO-MET-201-020.</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JSEA-PRO-MET-201-020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Hydrogen sulphide released from sodium hydrosulphide or from an acidified sulphide stream</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Personal multi-gas monitor including H2S worn and in calibration date. Area ventilation confirmed running. Two people, one clear. Withdraw upwind on any alarm. No sampling of the NaSH circuit during acid dosing.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Lime dust and contact when sampling bagged hydrated lime, and heat and dust at the lime slaker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Hazmat overall, latex gloves, N95 mask, glasses, hard hat and safety boots. Eyewash proven flowing before starting; wash dust from the eyes at once; wash skin with soap under running water. Lime safety data sheet read. Sampler position watched. Forklift moves done only by an authorised operator. No water in the lime feed pocket at the slaker.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Spilled caustic and sulphuric acid, and contact with the fumes, at the ReCYN caustic sample point and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Nitrile gloves, goggles and safety boots. Carry reagents in closed bottles or glassware. Safety data sheets read; eyewash proven flowing; wash contact under running water and soap. Titrate only in a working fume cupboard; close the sample bottle tightly after sampling.</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JSEA-PRO-MET-201-020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ListParagraph"/>
        <w:numPr>
          <w:ilvl w:val="0"/>
          <w:numId w:val="1"/>
        </w:numPr>
        <w:spacing w:after="60" w:line="245"/>
      </w:pPr>
      <w:r>
        <w:rPr>
          <w:rFonts w:ascii="Calibri" w:cs="Calibri" w:eastAsia="Calibri" w:hAnsi="Calibri"/>
          <w:sz w:val="17"/>
          <w:szCs w:val="17"/>
        </w:rPr>
        <w:t xml:space="preserve">Personal multi-gas monitor including H2S, calibrated and in test date</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 one dedicated set per reagent</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Hydrometer or density meter</w:t>
      </w:r>
    </w:p>
    <w:p>
      <w:pPr>
        <w:pStyle w:val="ListParagraph"/>
        <w:numPr>
          <w:ilvl w:val="0"/>
          <w:numId w:val="1"/>
        </w:numPr>
        <w:spacing w:after="60" w:line="245"/>
      </w:pPr>
      <w:r>
        <w:rPr>
          <w:rFonts w:ascii="Calibri" w:cs="Calibri" w:eastAsia="Calibri" w:hAnsi="Calibri"/>
          <w:sz w:val="17"/>
          <w:szCs w:val="17"/>
        </w:rPr>
        <w:t xml:space="preserve">Titration set - burette, pipette, conical flask, stand, wash bottle</w:t>
      </w:r>
    </w:p>
    <w:p>
      <w:pPr>
        <w:pStyle w:val="ListParagraph"/>
        <w:numPr>
          <w:ilvl w:val="0"/>
          <w:numId w:val="1"/>
        </w:numPr>
        <w:spacing w:after="60" w:line="245"/>
      </w:pPr>
      <w:r>
        <w:rPr>
          <w:rFonts w:ascii="Calibri" w:cs="Calibri" w:eastAsia="Calibri" w:hAnsi="Calibri"/>
          <w:sz w:val="17"/>
          <w:szCs w:val="17"/>
        </w:rPr>
        <w:t xml:space="preserve">Standardised AgNO3 for cyanide; standardised HCl for caustic; standardised NaOH for acid</w:t>
      </w:r>
    </w:p>
    <w:p>
      <w:pPr>
        <w:pStyle w:val="ListParagraph"/>
        <w:numPr>
          <w:ilvl w:val="0"/>
          <w:numId w:val="1"/>
        </w:numPr>
        <w:spacing w:after="60" w:line="245"/>
      </w:pPr>
      <w:r>
        <w:rPr>
          <w:rFonts w:ascii="Calibri" w:cs="Calibri" w:eastAsia="Calibri" w:hAnsi="Calibri"/>
          <w:sz w:val="17"/>
          <w:szCs w:val="17"/>
        </w:rPr>
        <w:t xml:space="preserve">Rhodanine and phenolphthalein indicators</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Personal protective equipment as Section 5, matched to the reagent being sampled</w:t>
      </w:r>
    </w:p>
    <w:p>
      <w:pPr>
        <w:pStyle w:val="ListParagraph"/>
        <w:numPr>
          <w:ilvl w:val="0"/>
          <w:numId w:val="1"/>
        </w:numPr>
        <w:spacing w:after="60" w:line="245"/>
      </w:pPr>
      <w:r>
        <w:rPr>
          <w:rFonts w:ascii="Calibri" w:cs="Calibri" w:eastAsia="Calibri" w:hAnsi="Calibri"/>
          <w:sz w:val="17"/>
          <w:szCs w:val="17"/>
        </w:rPr>
        <w:t xml:space="preserve">[M] Sample containers (sampler) kept at the lime slaker, dry plastic bags, scoop, marker, cable ties, forklift (hydrated lime bags), N95 mask, hazmat overall</w:t>
      </w:r>
    </w:p>
    <w:p>
      <w:pPr>
        <w:pStyle w:val="ListParagraph"/>
        <w:numPr>
          <w:ilvl w:val="0"/>
          <w:numId w:val="1"/>
        </w:numPr>
        <w:spacing w:after="60" w:line="245"/>
      </w:pPr>
      <w:r>
        <w:rPr>
          <w:rFonts w:ascii="Calibri" w:cs="Calibri" w:eastAsia="Calibri" w:hAnsi="Calibri"/>
          <w:sz w:val="17"/>
          <w:szCs w:val="17"/>
        </w:rPr>
        <w:t xml:space="preserve">[M] 100 mL sample bottle with a closing lid, fume cupboard, sulphuric acid solution prepared per the Martabe instruction (not received)</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Made-up reagent strength sampling</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Read the reagent-specific site sampling procedure before starting - the PPE and the approach differ between cyanide, acid, caustic and NaSH.</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NEVER use a container that has held a different reagent. Dedicated, labelled containers only.</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For sodium cyanide solution, sample only from the designated valve with full cyanide PPE, including the gas mask with A2B2E2K2P3 cartridge available for immediate use.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For sodium cyanide briquettes, sample the solid with the dust controls in place and do not open the sample in an unventilated space.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For sulphuric acid and sodium hydroxide, sample slowly from the designated diluted-solution valve, never from the concentrated storage tank.</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For sodium hydrosulphide, confirm no acid dosing is running anywhere that could contact the stream, and wear the multi-gas monitor including H2S.</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Titrate or measure density in the field where the method allows, and bottle the laboratory split for confirmation.</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batch number, make-up time, measured strength and the target strength against each sample. Report any batch outside the target range to the Shift Supervisor before it is dosed.</w:t>
      </w:r>
    </w:p>
    <w:p>
      <w:pPr>
        <w:spacing w:after="90" w:before="180" w:line="245"/>
        <w:keepNext/>
      </w:pPr>
      <w:r>
        <w:rPr>
          <w:rFonts w:ascii="Calibri" w:cs="Calibri" w:eastAsia="Calibri" w:hAnsi="Calibri"/>
          <w:b/>
          <w:bCs/>
          <w:color w:val="1F3864"/>
          <w:sz w:val="19"/>
          <w:szCs w:val="19"/>
        </w:rPr>
        <w:t xml:space="preserve">Part B - Lime slaker feed, product and final product sampling [M]</w:t>
      </w:r>
    </w:p>
    <w:p>
      <w:pPr>
        <w:spacing w:after="60" w:before="0" w:line="245"/>
      </w:pPr>
      <w:r>
        <w:rPr>
          <w:rFonts w:ascii="Calibri" w:cs="Calibri" w:eastAsia="Calibri" w:hAnsi="Calibri"/>
          <w:sz w:val="17"/>
          <w:szCs w:val="17"/>
        </w:rPr>
        <w:t xml:space="preserve">[M] = taken from the Martabe team work instruction "Sampling Feed, Product and Final Product of Lime Slaker (DOC-3-MET-PRS-WIN-00059-IE)" (25/12/2024).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[CONFIRM] the source names the Martabe lime slaker feed hopper, product hopper and lime tank. Map these to the Transmin slaking plant points here. The source gives no test to run on the samples and does not say how hot the slurry is, so confirm the bag type and the laboratory request.</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Take 5 minutes before starting ('Take 5'). Check the plastic bags are not damaged or leaking [M].</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Feed: the sampling point is the feed hopper. Use the sampler kept near the lime slaker. Put the sampler into the feed bin and fill it. Take it out of the bin. Make sure the bag is dry (change a wet bag for a dry one). Put the sample in the bag and tie it tightly.</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Product: the sampling point is the product hopper. Open the product bin cover, put the sampler in and fill it, lift it out. Use a dry bag, put the sample in and tie it tightly. Close the product bin cover.</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Final product: the sampling point is the lime tank. Put the sampler into the final product bin, fill it, lift it out. Use a dry bag, put the sample in and tie it tightly.</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Hazards in the source: dust, contact with the product, the sampler hitting the head, and heat from the lime slurry. Hard hat on; make sure there is no water in the lime feed pocket.</w:t>
      </w:r>
    </w:p>
    <w:p>
      <w:pPr>
        <w:spacing w:after="90" w:before="180" w:line="245"/>
        <w:keepNext/>
      </w:pPr>
      <w:r>
        <w:rPr>
          <w:rFonts w:ascii="Calibri" w:cs="Calibri" w:eastAsia="Calibri" w:hAnsi="Calibri"/>
          <w:b/>
          <w:bCs/>
          <w:color w:val="1F3864"/>
          <w:sz w:val="19"/>
          <w:szCs w:val="19"/>
        </w:rPr>
        <w:t xml:space="preserve">Part C - Bagged hydrated lime sampling [M]</w:t>
      </w:r>
    </w:p>
    <w:p>
      <w:pPr>
        <w:spacing w:after="60" w:before="0" w:line="245"/>
      </w:pPr>
      <w:r>
        <w:rPr>
          <w:rFonts w:ascii="Calibri" w:cs="Calibri" w:eastAsia="Calibri" w:hAnsi="Calibri"/>
          <w:sz w:val="17"/>
          <w:szCs w:val="17"/>
        </w:rPr>
        <w:t xml:space="preserve">[M] = taken from the Martabe team work instruction "Sampling Hydrated Lime (DOC-3-MET-PRS-WIN-00061-IE)" (25/12/2024). [CONFIRM] = unspecified or inconsistent in the source; resolve before this instruction is approved for use. Part A (original steps) is unchanged.</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Check the nearest eyewash works. Prepare plastic bags, marker and scoop. Have the lime safety data sheet available [M].</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Bring the sample bag down with the forklift as the forklift operation instruction requires. Only an authorised forklift operator does this.</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Write the ID number on the plastic bag. Untie the sample bag and level the surface of the opened lime bag so lime does not spill.</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Take the sample with a scoop, spread evenly so the sample is homogeneous across the bag. Take it at least 10 cm below the surface.</w:t>
      </w:r>
    </w:p>
    <w:p>
      <w:pPr>
        <w:ind w:left="280"/>
        <w:spacing w:after="50" w:before="0" w:line="245"/>
      </w:pPr>
      <w:r>
        <w:rPr>
          <w:rFonts w:ascii="Calibri" w:cs="Calibri" w:eastAsia="Calibri" w:hAnsi="Calibri"/>
          <w:b/>
          <w:bCs/>
          <w:sz w:val="17"/>
          <w:szCs w:val="17"/>
        </w:rPr>
        <w:t xml:space="preserve">18.</w:t>
      </w:r>
      <w:r>
        <w:rPr>
          <w:rFonts w:ascii="Calibri" w:cs="Calibri" w:eastAsia="Calibri" w:hAnsi="Calibri"/>
          <w:sz w:val="17"/>
          <w:szCs w:val="17"/>
        </w:rPr>
        <w:t xml:space="preserve">  Put the sample in the labelled plastic bag. Twist the bag tightly and tie it by hand so no air is left inside. Also tie it with a cable tie. Double-bag it and tie the outer bag the same way.</w:t>
      </w:r>
    </w:p>
    <w:p>
      <w:pPr>
        <w:ind w:left="280"/>
        <w:spacing w:after="50" w:before="0" w:line="245"/>
      </w:pPr>
      <w:r>
        <w:rPr>
          <w:rFonts w:ascii="Calibri" w:cs="Calibri" w:eastAsia="Calibri" w:hAnsi="Calibri"/>
          <w:b/>
          <w:bCs/>
          <w:sz w:val="17"/>
          <w:szCs w:val="17"/>
        </w:rPr>
        <w:t xml:space="preserve">19.</w:t>
      </w:r>
      <w:r>
        <w:rPr>
          <w:rFonts w:ascii="Calibri" w:cs="Calibri" w:eastAsia="Calibri" w:hAnsi="Calibri"/>
          <w:sz w:val="17"/>
          <w:szCs w:val="17"/>
        </w:rPr>
        <w:t xml:space="preserve">  Close the sample container again. Send the sample and the dispatch form to the laboratory (the source says ITS).</w:t>
      </w:r>
    </w:p>
    <w:p>
      <w:pPr>
        <w:ind w:left="280"/>
        <w:spacing w:after="50" w:before="0" w:line="245"/>
      </w:pPr>
      <w:r>
        <w:rPr>
          <w:rFonts w:ascii="Calibri" w:cs="Calibri" w:eastAsia="Calibri" w:hAnsi="Calibri"/>
          <w:b/>
          <w:bCs/>
          <w:sz w:val="17"/>
          <w:szCs w:val="17"/>
        </w:rPr>
        <w:t xml:space="preserve">20.</w:t>
      </w:r>
      <w:r>
        <w:rPr>
          <w:rFonts w:ascii="Calibri" w:cs="Calibri" w:eastAsia="Calibri" w:hAnsi="Calibri"/>
          <w:sz w:val="17"/>
          <w:szCs w:val="17"/>
        </w:rPr>
        <w:t xml:space="preserve">  Record the per cent solids of the hydrated lime in 'G:\Processing\5. Metallurgy\Metallurgy Lab\04 Metlab Data\Lime\% Solid Hydrated Lime'. [CONFIRM] a per cent solids result on dry hydrated lime is unusual; confirm the test (lime availability is in SWI-PRO-MET-205-005).</w:t>
      </w:r>
    </w:p>
    <w:p>
      <w:pPr>
        <w:spacing w:after="90" w:before="180" w:line="245"/>
        <w:keepNext/>
      </w:pPr>
      <w:r>
        <w:rPr>
          <w:rFonts w:ascii="Calibri" w:cs="Calibri" w:eastAsia="Calibri" w:hAnsi="Calibri"/>
          <w:b/>
          <w:bCs/>
          <w:color w:val="1F3864"/>
          <w:sz w:val="19"/>
          <w:szCs w:val="19"/>
        </w:rPr>
        <w:t xml:space="preserve">Part D - ReCYN plant caustic: sampling and strength calculation [M]</w:t>
      </w:r>
    </w:p>
    <w:p>
      <w:pPr>
        <w:spacing w:after="60" w:before="0" w:line="245"/>
      </w:pPr>
      <w:r>
        <w:rPr>
          <w:rFonts w:ascii="Calibri" w:cs="Calibri" w:eastAsia="Calibri" w:hAnsi="Calibri"/>
          <w:sz w:val="17"/>
          <w:szCs w:val="17"/>
        </w:rPr>
        <w:t xml:space="preserve">[M] = taken from the Martabe team work instruction "Recyn Plant Caustic Strength Measurement (DOC-3-MET-PMC-WIN-00088-IE)" (25/12/2024). [CONFIRM] = unspecified or inconsistent in the source; resolve before this instruction is approved for use. Parts A, B and C are unchanged.</w:t>
      </w:r>
    </w:p>
    <w:p>
      <w:pPr>
        <w:ind w:left="280"/>
        <w:spacing w:after="50" w:before="0" w:line="245"/>
      </w:pPr>
      <w:r>
        <w:rPr>
          <w:rFonts w:ascii="Calibri" w:cs="Calibri" w:eastAsia="Calibri" w:hAnsi="Calibri"/>
          <w:b/>
          <w:bCs/>
          <w:sz w:val="17"/>
          <w:szCs w:val="17"/>
        </w:rPr>
        <w:t xml:space="preserve">21.</w:t>
      </w:r>
      <w:r>
        <w:rPr>
          <w:rFonts w:ascii="Calibri" w:cs="Calibri" w:eastAsia="Calibri" w:hAnsi="Calibri"/>
          <w:sz w:val="17"/>
          <w:szCs w:val="17"/>
        </w:rPr>
        <w:t xml:space="preserve">  Take 5 and prepare the fume cupboard, beakers, 100 mL sample bottle, dropper and burette. Check them and the reagents (water, NaOH, phenolphthalein, sulphuric acid) are good to use [M].</w:t>
      </w:r>
    </w:p>
    <w:p>
      <w:pPr>
        <w:ind w:left="280"/>
        <w:spacing w:after="50" w:before="0" w:line="245"/>
      </w:pPr>
      <w:r>
        <w:rPr>
          <w:rFonts w:ascii="Calibri" w:cs="Calibri" w:eastAsia="Calibri" w:hAnsi="Calibri"/>
          <w:b/>
          <w:bCs/>
          <w:sz w:val="17"/>
          <w:szCs w:val="17"/>
        </w:rPr>
        <w:t xml:space="preserve">22.</w:t>
      </w:r>
      <w:r>
        <w:rPr>
          <w:rFonts w:ascii="Calibri" w:cs="Calibri" w:eastAsia="Calibri" w:hAnsi="Calibri"/>
          <w:sz w:val="17"/>
          <w:szCs w:val="17"/>
        </w:rPr>
        <w:t xml:space="preserve">  Take the NaOH sample from the drain pipe of the ReCYN plant caustic pump into the 100 mL bottle. Fill the bottle to the level of the lid so it does not overflow, then close it tightly. [CONFIRM] Part A step 5 says to sample only from the designated diluted-solution valve, never from the concentrated tank; confirm the pump drain pipe carries the diluted solution.</w:t>
      </w:r>
    </w:p>
    <w:p>
      <w:pPr>
        <w:ind w:left="280"/>
        <w:spacing w:after="50" w:before="0" w:line="245"/>
      </w:pPr>
      <w:r>
        <w:rPr>
          <w:rFonts w:ascii="Calibri" w:cs="Calibri" w:eastAsia="Calibri" w:hAnsi="Calibri"/>
          <w:b/>
          <w:bCs/>
          <w:sz w:val="17"/>
          <w:szCs w:val="17"/>
        </w:rPr>
        <w:t xml:space="preserve">23.</w:t>
      </w:r>
      <w:r>
        <w:rPr>
          <w:rFonts w:ascii="Calibri" w:cs="Calibri" w:eastAsia="Calibri" w:hAnsi="Calibri"/>
          <w:sz w:val="17"/>
          <w:szCs w:val="17"/>
        </w:rPr>
        <w:t xml:space="preserve">  Prepare the sulphuric acid and titrate the sample in the fume cupboard as SWI-PRO-MET-205-002 Part B describes.</w:t>
      </w:r>
    </w:p>
    <w:p>
      <w:pPr>
        <w:ind w:left="280"/>
        <w:spacing w:after="50" w:before="0" w:line="245"/>
      </w:pPr>
      <w:r>
        <w:rPr>
          <w:rFonts w:ascii="Calibri" w:cs="Calibri" w:eastAsia="Calibri" w:hAnsi="Calibri"/>
          <w:b/>
          <w:bCs/>
          <w:sz w:val="17"/>
          <w:szCs w:val="17"/>
        </w:rPr>
        <w:t xml:space="preserve">24.</w:t>
      </w:r>
      <w:r>
        <w:rPr>
          <w:rFonts w:ascii="Calibri" w:cs="Calibri" w:eastAsia="Calibri" w:hAnsi="Calibri"/>
          <w:sz w:val="17"/>
          <w:szCs w:val="17"/>
        </w:rPr>
        <w:t xml:space="preserve">  Record the caustic strength in 'G:\Processing\5. Metallurgy\Metallurgy Lab\04 Metlab Data\Concentrasi NaOH' or on form DOC-4-MET-PMC-DFR-00135-EN (Form Caustic Strength.xlsx).</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procedures 19. Sodium Cyanide Solution, 20. Sodium Cyanide Briquettes, 21. Diluted Sulphuric Acid and 22. Diluted Sodium Hydroxide Sampling [LIVE]</w:t>
      </w:r>
    </w:p>
    <w:p>
      <w:pPr>
        <w:pStyle w:val="ListParagraph"/>
        <w:numPr>
          <w:ilvl w:val="0"/>
          <w:numId w:val="1"/>
        </w:numPr>
        <w:spacing w:after="60" w:line="245"/>
      </w:pPr>
      <w:r>
        <w:rPr>
          <w:rFonts w:ascii="Calibri" w:cs="Calibri" w:eastAsia="Calibri" w:hAnsi="Calibri"/>
          <w:sz w:val="17"/>
          <w:szCs w:val="17"/>
        </w:rPr>
        <w:t xml:space="preserve">KBK-MIR-MP-PRO-MET-SOP-0009 caustic soda titration, SOP-0010 cyanide titration, SOP-0025 and SOP-0039/0040 hydrochloric acid titration, SOP-0041/0042 sulphuric acid titration and SOP-0043 AgNO3 standard preparation - the last six received 11 Aug 2026</w:t>
      </w:r>
    </w:p>
    <w:p>
      <w:pPr>
        <w:pStyle w:val="ListParagraph"/>
        <w:numPr>
          <w:ilvl w:val="0"/>
          <w:numId w:val="1"/>
        </w:numPr>
        <w:spacing w:after="60" w:line="245"/>
      </w:pPr>
      <w:r>
        <w:rPr>
          <w:rFonts w:ascii="Calibri" w:cs="Calibri" w:eastAsia="Calibri" w:hAnsi="Calibri"/>
          <w:sz w:val="17"/>
          <w:szCs w:val="17"/>
        </w:rPr>
        <w:t xml:space="preserve">KBK-MIR-MP-PRO-OPE-SOP-0076 Fasilitas Cyanide, received 11 Aug 2026</w:t>
      </w:r>
    </w:p>
    <w:p>
      <w:pPr>
        <w:pStyle w:val="ListParagraph"/>
        <w:numPr>
          <w:ilvl w:val="0"/>
          <w:numId w:val="1"/>
        </w:numPr>
        <w:spacing w:after="60" w:line="245"/>
      </w:pPr>
      <w:r>
        <w:rPr>
          <w:rFonts w:ascii="Calibri" w:cs="Calibri" w:eastAsia="Calibri" w:hAnsi="Calibri"/>
          <w:sz w:val="17"/>
          <w:szCs w:val="17"/>
        </w:rPr>
        <w:t xml:space="preserve">4034-046-VE-019 Rev A Transmin quicklime slaking plant functional description, received 11 Aug 2026</w:t>
      </w:r>
    </w:p>
    <w:p>
      <w:pPr>
        <w:pStyle w:val="ListParagraph"/>
        <w:numPr>
          <w:ilvl w:val="0"/>
          <w:numId w:val="1"/>
        </w:numPr>
        <w:spacing w:after="60" w:line="245"/>
      </w:pPr>
      <w:r>
        <w:rPr>
          <w:rFonts w:ascii="Calibri" w:cs="Calibri" w:eastAsia="Calibri" w:hAnsi="Calibri"/>
          <w:sz w:val="17"/>
          <w:szCs w:val="17"/>
        </w:rPr>
        <w:t xml:space="preserve">HM-PRC-V01-PRO021 to PRO027</w:t>
      </w:r>
    </w:p>
    <w:p>
      <w:pPr>
        <w:pStyle w:val="ListParagraph"/>
        <w:numPr>
          <w:ilvl w:val="0"/>
          <w:numId w:val="1"/>
        </w:numPr>
        <w:spacing w:after="60" w:line="245"/>
      </w:pPr>
      <w:r>
        <w:rPr>
          <w:rFonts w:ascii="Calibri" w:cs="Calibri" w:eastAsia="Calibri" w:hAnsi="Calibri"/>
          <w:sz w:val="17"/>
          <w:szCs w:val="17"/>
        </w:rPr>
        <w:t xml:space="preserve">Martabe work instruction 'Sampling Feed, Product and Final Product of Lime Slaker' DOC-3-MET-PRS-WIN-00059-IE v1.0 (issued 25/12/2024) - Part B source</w:t>
      </w:r>
    </w:p>
    <w:p>
      <w:pPr>
        <w:pStyle w:val="ListParagraph"/>
        <w:numPr>
          <w:ilvl w:val="0"/>
          <w:numId w:val="1"/>
        </w:numPr>
        <w:spacing w:after="60" w:line="245"/>
      </w:pPr>
      <w:r>
        <w:rPr>
          <w:rFonts w:ascii="Calibri" w:cs="Calibri" w:eastAsia="Calibri" w:hAnsi="Calibri"/>
          <w:sz w:val="17"/>
          <w:szCs w:val="17"/>
        </w:rPr>
        <w:t xml:space="preserve">Martabe work instruction 'Sampling Hydrated Lime' DOC-3-MET-PRS-WIN-00061-IE v1.0 (issued 25/12/2024) - Part C source</w:t>
      </w:r>
    </w:p>
    <w:p>
      <w:pPr>
        <w:pStyle w:val="ListParagraph"/>
        <w:numPr>
          <w:ilvl w:val="0"/>
          <w:numId w:val="1"/>
        </w:numPr>
        <w:spacing w:after="60" w:line="245"/>
      </w:pPr>
      <w:r>
        <w:rPr>
          <w:rFonts w:ascii="Calibri" w:cs="Calibri" w:eastAsia="Calibri" w:hAnsi="Calibri"/>
          <w:sz w:val="17"/>
          <w:szCs w:val="17"/>
        </w:rPr>
        <w:t xml:space="preserve">Martabe work instruction 'ReCYN Plant Caustic Strength Measurement' DOC-3-MET-PMC-WIN-00088-IE v1.0 (issued 25/12/2024) - Part 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SWI-PRO-MET-201-020  ·  Reagent Solution Strength Sampling - NaCN, NaOH, H2SO4, NaCl, Lime and NaSH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