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PROCEDURE</w:t>
      </w:r>
    </w:p>
    <w:p>
      <w:pPr>
        <w:pBdr>
          <w:bottom w:val="single" w:sz="8" w:space="4" w:color="1F3864"/>
        </w:pBdr>
        <w:spacing w:after="80" w:before="0" w:line="300"/>
      </w:pPr>
      <w:r>
        <w:rPr>
          <w:rFonts w:ascii="Calibri" w:cs="Calibri" w:eastAsia="Calibri" w:hAnsi="Calibri"/>
          <w:b/>
          <w:bCs/>
          <w:color w:val="1F3864"/>
          <w:sz w:val="32"/>
          <w:szCs w:val="32"/>
        </w:rPr>
        <w:t xml:space="preserve">Laboratory Environmental and Cyanide Analysis</w:t>
      </w:r>
    </w:p>
    <w:p>
      <w:pPr>
        <w:spacing w:after="140" w:before="0" w:line="245"/>
      </w:pPr>
      <w:r>
        <w:rPr>
          <w:rFonts w:ascii="Calibri" w:cs="Calibri" w:eastAsia="Calibri" w:hAnsi="Calibri"/>
          <w:color w:val="555555"/>
          <w:sz w:val="17"/>
          <w:szCs w:val="17"/>
        </w:rPr>
        <w:t xml:space="preserve">Standard Work Procedure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Title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Laboratory Environmental and Cyanide Analysis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Scope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Laboratory environmental and cyanide analysis - pH and conductivity, dissolved and suspended solids, free, WAD and total cyanide, cyanide-soluble assay, dissolved metals, NAG and acid neutralising capacity, the environmental reagent set, and environmental sample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 on tabs JSEA_LAB and SWI-LAB</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Hazard analyses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25 (JSEA-PRO-LAB-304-001 to -025)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procedure covers laboratory environmental and cyanide analysis at the Mt. Morgan processing plant. It is the procedure that the 25 hazard analyses and 25 work instructions in register area 304 sit under.</w:t>
      </w:r>
    </w:p>
    <w:p>
      <w:pPr>
        <w:spacing w:after="60" w:before="0" w:line="245"/>
      </w:pPr>
      <w:r>
        <w:rPr>
          <w:rFonts w:ascii="Calibri" w:cs="Calibri" w:eastAsia="Calibri" w:hAnsi="Calibri"/>
          <w:sz w:val="17"/>
          <w:szCs w:val="17"/>
        </w:rPr>
        <w:t xml:space="preserve">Laboratory environmental and cyanide analysis - pH and conductivity, dissolved and suspended solids, free, WAD and total cyanide, cyanide-soluble assay, dissolved metals, NAG and acid neutralising capacity, the environmental reagent set, and environmental sample collection.</w:t>
      </w:r>
    </w:p>
    <w:p>
      <w:pPr>
        <w:pStyle w:val="Heading1"/>
        <w:spacing w:after="120" w:before="260"/>
      </w:pPr>
      <w:r>
        <w:rPr>
          <w:rFonts w:ascii="Calibri" w:cs="Calibri" w:eastAsia="Calibri" w:hAnsi="Calibri"/>
          <w:b/>
          <w:bCs/>
          <w:color w:val="1F3864"/>
          <w:sz w:val="24"/>
          <w:szCs w:val="24"/>
        </w:rPr>
        <w:t xml:space="preserve">2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Laboratory Technician</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Carry out the task to the schedule and to the work instruction.</w:t>
            </w:r>
          </w:p>
          <w:p>
            <w:pPr>
              <w:spacing w:after="30" w:line="235"/>
            </w:pPr>
            <w:r>
              <w:rPr>
                <w:rFonts w:ascii="Calibri" w:cs="Calibri" w:eastAsia="Calibri" w:hAnsi="Calibri"/>
                <w:sz w:val="16"/>
                <w:szCs w:val="16"/>
              </w:rPr>
              <w:t xml:space="preserve">Only carry out work where competent and authorised to do so.</w:t>
            </w:r>
          </w:p>
          <w:p>
            <w:pPr>
              <w:spacing w:after="30" w:line="235"/>
            </w:pPr>
            <w:r>
              <w:rPr>
                <w:rFonts w:ascii="Calibri" w:cs="Calibri" w:eastAsia="Calibri" w:hAnsi="Calibri"/>
                <w:sz w:val="16"/>
                <w:szCs w:val="16"/>
              </w:rPr>
              <w:t xml:space="preserve">Record what was actually done. Work not done is recorded as not done - never invented and never back-filled.</w:t>
            </w:r>
          </w:p>
          <w:p>
            <w:pPr>
              <w:spacing w:after="0" w:line="235"/>
            </w:pPr>
            <w:r>
              <w:rPr>
                <w:rFonts w:ascii="Calibri" w:cs="Calibri" w:eastAsia="Calibri" w:hAnsi="Calibri"/>
                <w:sz w:val="16"/>
                <w:szCs w:val="16"/>
              </w:rPr>
              <w:t xml:space="preserve">Stop and report if any control in the JSEA is not in place.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Laboratory Supervisor</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Authorise the task and confirm the area is fit before it starts.</w:t>
            </w:r>
          </w:p>
          <w:p>
            <w:pPr>
              <w:spacing w:after="30" w:line="235"/>
            </w:pPr>
            <w:r>
              <w:rPr>
                <w:rFonts w:ascii="Calibri" w:cs="Calibri" w:eastAsia="Calibri" w:hAnsi="Calibri"/>
                <w:sz w:val="16"/>
                <w:szCs w:val="16"/>
              </w:rPr>
              <w:t xml:space="preserve">Know that the task is in progress and where the person is.</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0" w:line="235"/>
            </w:pPr>
            <w:r>
              <w:rPr>
                <w:rFonts w:ascii="Calibri" w:cs="Calibri" w:eastAsia="Calibri" w:hAnsi="Calibri"/>
                <w:sz w:val="16"/>
                <w:szCs w:val="16"/>
              </w:rPr>
              <w:t xml:space="preserve">Act on any off-specification result reported from the task.</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Chief Chemist / Metallurgist</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Set and maintain the schedule - what is done, how often, and what is reported.</w:t>
            </w:r>
          </w:p>
          <w:p>
            <w:pPr>
              <w:spacing w:after="30" w:line="235"/>
            </w:pPr>
            <w:r>
              <w:rPr>
                <w:rFonts w:ascii="Calibri" w:cs="Calibri" w:eastAsia="Calibri" w:hAnsi="Calibri"/>
                <w:sz w:val="16"/>
                <w:szCs w:val="16"/>
              </w:rPr>
              <w:t xml:space="preserve">Review the results and act on the trends.</w:t>
            </w:r>
          </w:p>
          <w:p>
            <w:pPr>
              <w:spacing w:after="0" w:line="235"/>
            </w:pPr>
            <w:r>
              <w:rPr>
                <w:rFonts w:ascii="Calibri" w:cs="Calibri" w:eastAsia="Calibri" w:hAnsi="Calibri"/>
                <w:sz w:val="16"/>
                <w:szCs w:val="16"/>
              </w:rPr>
              <w:t xml:space="preserve">Investigate any variance outside the agreed tolerance before a period is closed.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Laboratory Manager / Superintendent</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are trained and competent.</w:t>
            </w:r>
          </w:p>
          <w:p>
            <w:pPr>
              <w:spacing w:after="30" w:line="235"/>
            </w:pPr>
            <w:r>
              <w:rPr>
                <w:rFonts w:ascii="Calibri" w:cs="Calibri" w:eastAsia="Calibri" w:hAnsi="Calibri"/>
                <w:sz w:val="16"/>
                <w:szCs w:val="16"/>
              </w:rPr>
              <w:t xml:space="preserve">Ensure this procedure and the documents beneath it are reviewed at the stated interval.</w:t>
            </w:r>
          </w:p>
          <w:p>
            <w:pPr>
              <w:spacing w:after="0" w:line="235"/>
            </w:pPr>
            <w:r>
              <w:rPr>
                <w:rFonts w:ascii="Calibri" w:cs="Calibri" w:eastAsia="Calibri" w:hAnsi="Calibri"/>
                <w:sz w:val="16"/>
                <w:szCs w:val="16"/>
              </w:rPr>
              <w:t xml:space="preserve">Approve the risk ranking in the JSEAs.</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6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one per task, giving the step-by-step hazards, controls and risk ranking.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one per task, giving the step-by-step method.</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this document.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Steady state</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Normal operation held for at least 15 to 20 minutes.</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in Areas 041, 051, 071 and 081.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CN Free / WAD CN</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cyanide by silver nitrate titration; weak acid dissociable cyanide by distillation.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p>
      <w:pPr>
        <w:spacing w:after="60" w:before="0" w:line="245"/>
      </w:pPr>
      <w:r>
        <w:rPr>
          <w:rFonts w:ascii="Calibri" w:cs="Calibri" w:eastAsia="Calibri" w:hAnsi="Calibri"/>
          <w:sz w:val="17"/>
          <w:szCs w:val="17"/>
        </w:rPr>
        <w:t xml:space="preserve">The step-by-step hazard analysis for each task, with the risk ranking, is in the JSEA for that task. The hazards common across this area are:</w:t>
      </w:r>
    </w:p>
    <w:p>
      <w:pPr>
        <w:pStyle w:val="ListParagraph"/>
        <w:numPr>
          <w:ilvl w:val="0"/>
          <w:numId w:val="1"/>
        </w:numPr>
        <w:spacing w:after="60" w:line="245"/>
      </w:pPr>
      <w:r>
        <w:rPr>
          <w:rFonts w:ascii="Calibri" w:cs="Calibri" w:eastAsia="Calibri" w:hAnsi="Calibri"/>
          <w:sz w:val="17"/>
          <w:szCs w:val="17"/>
        </w:rPr>
        <w:t xml:space="preserve">Contact with sulphuric or hydrochloric acid - burn to skin or eyes</w:t>
      </w:r>
    </w:p>
    <w:p>
      <w:pPr>
        <w:pStyle w:val="ListParagraph"/>
        <w:numPr>
          <w:ilvl w:val="0"/>
          <w:numId w:val="1"/>
        </w:numPr>
        <w:spacing w:after="60" w:line="245"/>
      </w:pPr>
      <w:r>
        <w:rPr>
          <w:rFonts w:ascii="Calibri" w:cs="Calibri" w:eastAsia="Calibri" w:hAnsi="Calibri"/>
          <w:sz w:val="17"/>
          <w:szCs w:val="17"/>
        </w:rPr>
        <w:t xml:space="preserve">Cuts from broken glassware, and burns from hot glassware</w:t>
      </w:r>
    </w:p>
    <w:p>
      <w:pPr>
        <w:pStyle w:val="ListParagraph"/>
        <w:numPr>
          <w:ilvl w:val="0"/>
          <w:numId w:val="1"/>
        </w:numPr>
        <w:spacing w:after="60" w:line="245"/>
      </w:pPr>
      <w:r>
        <w:rPr>
          <w:rFonts w:ascii="Calibri" w:cs="Calibri" w:eastAsia="Calibri" w:hAnsi="Calibri"/>
          <w:sz w:val="17"/>
          <w:szCs w:val="17"/>
        </w:rPr>
        <w:t xml:space="preserve">Cross-contamination from a container or cutter not cleaned between points</w:t>
      </w:r>
    </w:p>
    <w:p>
      <w:pPr>
        <w:pStyle w:val="ListParagraph"/>
        <w:numPr>
          <w:ilvl w:val="0"/>
          <w:numId w:val="1"/>
        </w:numPr>
        <w:spacing w:after="60" w:line="245"/>
      </w:pPr>
      <w:r>
        <w:rPr>
          <w:rFonts w:ascii="Calibri" w:cs="Calibri" w:eastAsia="Calibri" w:hAnsi="Calibri"/>
          <w:sz w:val="17"/>
          <w:szCs w:val="17"/>
        </w:rPr>
        <w:t xml:space="preserve">Non-representative sample leading to a wrong process decision</w:t>
      </w:r>
    </w:p>
    <w:p>
      <w:pPr>
        <w:pStyle w:val="ListParagraph"/>
        <w:numPr>
          <w:ilvl w:val="0"/>
          <w:numId w:val="1"/>
        </w:numPr>
        <w:spacing w:after="60" w:line="245"/>
      </w:pPr>
      <w:r>
        <w:rPr>
          <w:rFonts w:ascii="Calibri" w:cs="Calibri" w:eastAsia="Calibri" w:hAnsi="Calibri"/>
          <w:sz w:val="17"/>
          <w:szCs w:val="17"/>
        </w:rPr>
        <w:t xml:space="preserve">Contact with hot solution or hot surface at the elution, stripping or regeneration circuits</w:t>
      </w:r>
    </w:p>
    <w:p>
      <w:pPr>
        <w:pStyle w:val="ListParagraph"/>
        <w:numPr>
          <w:ilvl w:val="0"/>
          <w:numId w:val="1"/>
        </w:numPr>
        <w:spacing w:after="60" w:line="245"/>
      </w:pPr>
      <w:r>
        <w:rPr>
          <w:rFonts w:ascii="Calibri" w:cs="Calibri" w:eastAsia="Calibri" w:hAnsi="Calibri"/>
          <w:sz w:val="17"/>
          <w:szCs w:val="17"/>
        </w:rPr>
        <w:t xml:space="preserve">Release from a pressurised sample line, hose or fitting</w:t>
      </w:r>
    </w:p>
    <w:p>
      <w:pPr>
        <w:pStyle w:val="ListParagraph"/>
        <w:numPr>
          <w:ilvl w:val="0"/>
          <w:numId w:val="1"/>
        </w:numPr>
        <w:spacing w:after="60" w:line="245"/>
      </w:pPr>
      <w:r>
        <w:rPr>
          <w:rFonts w:ascii="Calibri" w:cs="Calibri" w:eastAsia="Calibri" w:hAnsi="Calibri"/>
          <w:sz w:val="17"/>
          <w:szCs w:val="17"/>
        </w:rPr>
        <w:t xml:space="preserve">Hydrogen cyanide gas released at the open sample point</w:t>
      </w:r>
    </w:p>
    <w:p>
      <w:pPr>
        <w:pStyle w:val="ListParagraph"/>
        <w:numPr>
          <w:ilvl w:val="0"/>
          <w:numId w:val="1"/>
        </w:numPr>
        <w:spacing w:after="60" w:line="245"/>
      </w:pPr>
      <w:r>
        <w:rPr>
          <w:rFonts w:ascii="Calibri" w:cs="Calibri" w:eastAsia="Calibri" w:hAnsi="Calibri"/>
          <w:sz w:val="17"/>
          <w:szCs w:val="17"/>
        </w:rPr>
        <w:t xml:space="preserve">Inhalation of acid fume or reagent vapour at the bench</w:t>
      </w:r>
    </w:p>
    <w:p>
      <w:pPr>
        <w:pStyle w:val="ListParagraph"/>
        <w:numPr>
          <w:ilvl w:val="0"/>
          <w:numId w:val="1"/>
        </w:numPr>
        <w:spacing w:after="60" w:line="245"/>
      </w:pPr>
      <w:r>
        <w:rPr>
          <w:rFonts w:ascii="Calibri" w:cs="Calibri" w:eastAsia="Calibri" w:hAnsi="Calibri"/>
          <w:sz w:val="17"/>
          <w:szCs w:val="17"/>
        </w:rPr>
        <w:t xml:space="preserve">Splash of cyanide-bearing slurry or solution to skin or eyes</w:t>
      </w:r>
    </w:p>
    <w:p>
      <w:pPr>
        <w:pStyle w:val="ListParagraph"/>
        <w:numPr>
          <w:ilvl w:val="0"/>
          <w:numId w:val="1"/>
        </w:numPr>
        <w:spacing w:after="60" w:line="245"/>
      </w:pPr>
      <w:r>
        <w:rPr>
          <w:rFonts w:ascii="Calibri" w:cs="Calibri" w:eastAsia="Calibri" w:hAnsi="Calibri"/>
          <w:sz w:val="17"/>
          <w:szCs w:val="17"/>
        </w:rPr>
        <w:t xml:space="preserve">Contact with an agitator, sample cutter, pump or screen that starts without warning</w:t>
      </w:r>
    </w:p>
    <w:p>
      <w:pPr>
        <w:pStyle w:val="ListParagraph"/>
        <w:numPr>
          <w:ilvl w:val="0"/>
          <w:numId w:val="1"/>
        </w:numPr>
        <w:spacing w:after="60" w:line="245"/>
      </w:pPr>
      <w:r>
        <w:rPr>
          <w:rFonts w:ascii="Calibri" w:cs="Calibri" w:eastAsia="Calibri" w:hAnsi="Calibri"/>
          <w:sz w:val="17"/>
          <w:szCs w:val="17"/>
        </w:rPr>
        <w:t xml:space="preserve">Inhalation of or contact with solid reagent - cyanide briquettes, lime or salt</w:t>
      </w:r>
    </w:p>
    <w:p>
      <w:pPr>
        <w:pStyle w:val="ListParagraph"/>
        <w:numPr>
          <w:ilvl w:val="0"/>
          <w:numId w:val="1"/>
        </w:numPr>
        <w:spacing w:after="60" w:line="245"/>
      </w:pPr>
      <w:r>
        <w:rPr>
          <w:rFonts w:ascii="Calibri" w:cs="Calibri" w:eastAsia="Calibri" w:hAnsi="Calibri"/>
          <w:sz w:val="17"/>
          <w:szCs w:val="17"/>
        </w:rPr>
        <w:t xml:space="preserve">Contact with sodium hydroxide solution - burn to skin or eyes</w:t>
      </w:r>
    </w:p>
    <w:p>
      <w:pPr>
        <w:pStyle w:val="ListParagraph"/>
        <w:numPr>
          <w:ilvl w:val="0"/>
          <w:numId w:val="1"/>
        </w:numPr>
        <w:spacing w:after="60" w:line="245"/>
      </w:pPr>
      <w:r>
        <w:rPr>
          <w:rFonts w:ascii="Calibri" w:cs="Calibri" w:eastAsia="Calibri" w:hAnsi="Calibri"/>
          <w:sz w:val="17"/>
          <w:szCs w:val="17"/>
        </w:rPr>
        <w:t xml:space="preserve">Slip, trip or fall on wet or slurry-covered walkways around sample points</w:t>
      </w:r>
    </w:p>
    <w:p>
      <w:pPr>
        <w:pStyle w:val="ListParagraph"/>
        <w:numPr>
          <w:ilvl w:val="0"/>
          <w:numId w:val="1"/>
        </w:numPr>
        <w:spacing w:after="60" w:line="245"/>
      </w:pPr>
      <w:r>
        <w:rPr>
          <w:rFonts w:ascii="Calibri" w:cs="Calibri" w:eastAsia="Calibri" w:hAnsi="Calibri"/>
          <w:sz w:val="17"/>
          <w:szCs w:val="17"/>
        </w:rPr>
        <w:t xml:space="preserve">Working alone in a cyanide area where a collapse would not be seen</w:t>
      </w: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hard hat, safety glasses, high-visibility long-sleeved shirt and long trousers, safety boots, and gloves appropriate to the task.</w:t>
      </w:r>
    </w:p>
    <w:p>
      <w:pPr>
        <w:spacing w:after="60" w:before="0" w:line="245"/>
      </w:pPr>
      <w:r>
        <w:rPr>
          <w:rFonts w:ascii="Calibri" w:cs="Calibri" w:eastAsia="Calibri" w:hAnsi="Calibri"/>
          <w:sz w:val="17"/>
          <w:szCs w:val="17"/>
        </w:rPr>
        <w:t xml:space="preserve">The following is added where the task requires it:</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90" w:before="180" w:line="245"/>
        <w:keepNext/>
      </w:pPr>
      <w:r>
        <w:rPr>
          <w:rFonts w:ascii="Calibri" w:cs="Calibri" w:eastAsia="Calibri" w:hAnsi="Calibri"/>
          <w:b/>
          <w:bCs/>
          <w:color w:val="1F3864"/>
          <w:sz w:val="19"/>
          <w:szCs w:val="19"/>
        </w:rPr>
        <w:t xml:space="preserve">6.2  Procedure and implementation steps</w:t>
      </w:r>
    </w:p>
    <w:p>
      <w:pPr>
        <w:spacing w:after="60" w:before="0" w:line="245"/>
      </w:pPr>
      <w:r>
        <w:rPr>
          <w:rFonts w:ascii="Calibri" w:cs="Calibri" w:eastAsia="Calibri" w:hAnsi="Calibri"/>
          <w:sz w:val="17"/>
          <w:szCs w:val="17"/>
        </w:rPr>
        <w:t xml:space="preserve">The documents below are the controlled method for each task. This procedure does not repeat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4026"/>
        <w:gridCol w:w="1300"/>
      </w:tblGrid>
      <w:tr>
        <w:trPr>
          <w:tblHeader/>
        </w:trPr>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JSEA</w:t>
            </w:r>
          </w:p>
        </w:tc>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Work instruction</w:t>
            </w:r>
          </w:p>
        </w:tc>
        <w:tc>
          <w:tcPr>
            <w:tcW w:type="dxa" w:w="40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13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Class</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JSEA-PRO-LAB-304-001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SWI-PRO-LAB-304-001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pH Meter Calibration and Use</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JSEA-PRO-LAB-304-002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SWI-PRO-LAB-304-002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TDS and EC Meter Calibration and Use</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JSEA-PRO-LAB-304-003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SWI-PRO-LAB-304-003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Total Dissolved Solids - Gravimetric Method</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JSEA-PRO-LAB-304-004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SWI-PRO-LAB-304-004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Total Suspended Solids - Gravimetric and Spectrophotometric Methods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JSEA-PRO-LAB-304-005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SWI-PRO-LAB-304-005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Free Cyanide by Titration - Silver Nitrate and Rhodanine</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JSEA-PRO-LAB-304-006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SWI-PRO-LAB-304-006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Free Cyanide by Direct Colorimetric Reading</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JSEA-PRO-LAB-304-007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SWI-PRO-LAB-304-007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Free Cyanide by Microdiffusion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JSEA-PRO-LAB-304-008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SWI-PRO-LAB-304-008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WAD Cyanide - Distillation and Determination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JSEA-PRO-LAB-304-009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SWI-PRO-LAB-304-009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Total Cyanide - Distillation and Determination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JSEA-PRO-LAB-304-010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SWI-PRO-LAB-304-010</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Distillation Apparatus Leak Test, Drying and Cleaning</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JSEA-PRO-LAB-304-011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SWI-PRO-LAB-304-011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Cyanide Leach of Solid Samples - CN-Soluble Assay</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JSEA-PRO-LAB-304-012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SWI-PRO-LAB-304-012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Moisture Determination for Total Cyanide on Solids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JSEA-PRO-LAB-304-013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SWI-PRO-LAB-304-013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Dissolved Copper by Porphyrine Method</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JSEA-PRO-LAB-304-014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SWI-PRO-LAB-304-014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Dissolved Iron by 1,10-Phenanthroline Method</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JSEA-PRO-LAB-304-015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SWI-PRO-LAB-304-015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Dissolved Metals Sample Preparation for AAS</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JSEA-PRO-LAB-304-016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SWI-PRO-LAB-304-016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NAG Test on Rock and Tailings Samples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JSEA-PRO-LAB-304-017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SWI-PRO-LAB-304-017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Acid Neutralising Capacity Determination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JSEA-PRO-LAB-304-018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SWI-PRO-LAB-304-018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pH(1:2) and EC(1:2) Determination on Solid Samples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JSEA-PRO-LAB-304-019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SWI-PRO-LAB-304-019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Preparation of Cyanide Analysis Reagents - Pre and Post Distillation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JSEA-PRO-LAB-304-020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SWI-PRO-LAB-304-020</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Preparation of Indicators - Rhodanine and Phenolphthalein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JSEA-PRO-LAB-304-021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SWI-PRO-LAB-304-021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Preparation of Hydrogen Peroxide 15% Solution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JSEA-PRO-LAB-304-022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SWI-PRO-LAB-304-022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Preparation of Magnesium Chloride 2.5 M Solution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JSEA-PRO-LAB-304-023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SWI-PRO-LAB-304-023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Preparation of Sulphuric Acid (1+1) and Nitric Acid (1+1)</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JSEA-PRO-LAB-304-024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SWI-PRO-LAB-304-024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Preparation of Sodium Hydroxide 0.1 M Standard Solution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JSEA-PRO-LAB-304-025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SWI-PRO-LAB-304-025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Environmental Sample Collection - TSF, Discharge and Monitoring Bores</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bl>
    <w:p>
      <w:pPr>
        <w:spacing w:after="60" w:before="0" w:line="245"/>
      </w:pPr>
    </w:p>
    <w:p>
      <w:pPr>
        <w:spacing w:after="90" w:before="180" w:line="245"/>
        <w:keepNext/>
      </w:pPr>
      <w:r>
        <w:rPr>
          <w:rFonts w:ascii="Calibri" w:cs="Calibri" w:eastAsia="Calibri" w:hAnsi="Calibri"/>
          <w:b/>
          <w:bCs/>
          <w:color w:val="1F3864"/>
          <w:sz w:val="19"/>
          <w:szCs w:val="19"/>
        </w:rPr>
        <w:t xml:space="preserve">6.3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4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Frequency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304-001  pH Meter Calibration and Use</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shift before use.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304-002  TDS and EC Meter Calibration and Use</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a meter is purchased.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304-003  Total Dissolved Solids - Gravimetric Method</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Per the analysis schedule.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304-004  Total Suspended Solids - Gravimetric and Spectrophotometric Methods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 the analysis schedule.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304-005  Free Cyanide by Titration - Silver Nitrate and Rhodanine</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shift on every cyanide stream on the schedule.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304-006  Free Cyanide by Direct Colorimetric Reading</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a spectrophotometer is purchased.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304-007  Free Cyanide by Microdiffusion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cells and a spectrophotometer are purchased.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304-008  WAD Cyanide - Distillation and Determination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a distillation train is purchased.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304-009  Total Cyanide - Distillation and Determination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a distillation train is purchased.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304-010  Distillation Apparatus Leak Test, Drying and Cleaning</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a distillation train is purchased.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304-011  Cyanide Leach of Solid Samples - CN-Soluble Assay</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Per the analysis schedule and on tail investigation.</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304-012  Moisture Determination for Total Cyanide on Solids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With every total cyanide determination on a solid.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304-013  Dissolved Copper by Porphyrine Method</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a spectrophotometer is purchased. Copper is achievable by AAS in the meantime.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304-014  Dissolved Iron by 1,10-Phenanthroline Method</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a spectrophotometer is purchased. Iron is achievable by AAS in the meantime.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304-015  Dissolved Metals Sample Preparation for AAS</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dissolved metals batch.</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304-016  NAG Test on Rock and Tailings Samples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 the environmental sampling schedule.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304-017  Acid Neutralising Capacity Determination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Per the environmental sampling schedule.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304-018  pH(1:2) and EC(1:2) Determination on Solid Samples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pH is supported; EC is not, because no conductivity meter was quoted.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304-019  Preparation of Cyanide Analysis Reagents - Pre and Post Distillation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As the solution register requires.</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304-020  Preparation of Indicators - Rhodanine and Phenolphthalein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As the solution register requires.</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304-021  Preparation of Hydrogen Peroxide 15% Solution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As the solution register requires.</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304-022  Preparation of Magnesium Chloride 2.5 M Solution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As the solution register requires.</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304-023  Preparation of Sulphuric Acid (1+1) and Nitric Acid (1+1)</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As the solution register requires.</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304-024  Preparation of Sodium Hydroxide 0.1 M Standard Solution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As the solution register requires; re-standardised at the set interval.</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304-025  Environmental Sample Collection - TSF, Discharge and Monitoring Bores</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sample points are defined.</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here. Each work instruction carries its own step sequence in Section 6.</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a task in this area is trained and signed off against the work instruction for that task, and has signed on to the matching JSEA at a communication session.</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instruments and calculations used in the task.</w:t>
      </w:r>
    </w:p>
    <w:p>
      <w:pPr>
        <w:pStyle w:val="ListParagraph"/>
        <w:numPr>
          <w:ilvl w:val="0"/>
          <w:numId w:val="1"/>
        </w:numPr>
        <w:spacing w:after="60" w:line="245"/>
      </w:pPr>
      <w:r>
        <w:rPr>
          <w:rFonts w:ascii="Calibri" w:cs="Calibri" w:eastAsia="Calibri" w:hAnsi="Calibri"/>
          <w:sz w:val="17"/>
          <w:szCs w:val="17"/>
        </w:rPr>
        <w:t xml:space="preserve">Refresher at the interval set by the site training matrix, and after any change to the instruction.</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KBK-MIR-LAB-ENV-SOP-067, -068 calibration and -087 reading</w:t>
      </w:r>
    </w:p>
    <w:p>
      <w:pPr>
        <w:pStyle w:val="ListParagraph"/>
        <w:numPr>
          <w:ilvl w:val="0"/>
          <w:numId w:val="1"/>
        </w:numPr>
        <w:spacing w:after="60" w:line="245"/>
      </w:pPr>
      <w:r>
        <w:rPr>
          <w:rFonts w:ascii="Calibri" w:cs="Calibri" w:eastAsia="Calibri" w:hAnsi="Calibri"/>
          <w:sz w:val="17"/>
          <w:szCs w:val="17"/>
        </w:rPr>
        <w:t xml:space="preserve">Heritage register line JSEA-PRO-LAB-304-001, tab JSEA_LAB / SWI-LAB</w:t>
      </w:r>
    </w:p>
    <w:p>
      <w:pPr>
        <w:pStyle w:val="ListParagraph"/>
        <w:numPr>
          <w:ilvl w:val="0"/>
          <w:numId w:val="1"/>
        </w:numPr>
        <w:spacing w:after="60" w:line="245"/>
      </w:pPr>
      <w:r>
        <w:rPr>
          <w:rFonts w:ascii="Calibri" w:cs="Calibri" w:eastAsia="Calibri" w:hAnsi="Calibri"/>
          <w:sz w:val="17"/>
          <w:szCs w:val="17"/>
        </w:rPr>
        <w:t xml:space="preserve">No TDS or conductivity meter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JSEA-PRO-LAB-304-002, tab JSEA_LAB / SWI-LAB</w:t>
      </w:r>
    </w:p>
    <w:p>
      <w:pPr>
        <w:pStyle w:val="ListParagraph"/>
        <w:numPr>
          <w:ilvl w:val="0"/>
          <w:numId w:val="1"/>
        </w:numPr>
        <w:spacing w:after="60" w:line="245"/>
      </w:pPr>
      <w:r>
        <w:rPr>
          <w:rFonts w:ascii="Calibri" w:cs="Calibri" w:eastAsia="Calibri" w:hAnsi="Calibri"/>
          <w:sz w:val="17"/>
          <w:szCs w:val="17"/>
        </w:rPr>
        <w:t xml:space="preserve">KBK-MIR-LAB-ENV-SOP-108 Analisa TDS metode gravimetri</w:t>
      </w:r>
    </w:p>
    <w:p>
      <w:pPr>
        <w:pStyle w:val="ListParagraph"/>
        <w:numPr>
          <w:ilvl w:val="0"/>
          <w:numId w:val="1"/>
        </w:numPr>
        <w:spacing w:after="60" w:line="245"/>
      </w:pPr>
      <w:r>
        <w:rPr>
          <w:rFonts w:ascii="Calibri" w:cs="Calibri" w:eastAsia="Calibri" w:hAnsi="Calibri"/>
          <w:sz w:val="17"/>
          <w:szCs w:val="17"/>
        </w:rPr>
        <w:t xml:space="preserve">Heritage register line JSEA-PRO-LAB-304-003, tab JSEA_LAB / SWI-LAB</w:t>
      </w:r>
    </w:p>
    <w:p>
      <w:pPr>
        <w:pStyle w:val="ListParagraph"/>
        <w:numPr>
          <w:ilvl w:val="0"/>
          <w:numId w:val="1"/>
        </w:numPr>
        <w:spacing w:after="60" w:line="245"/>
      </w:pPr>
      <w:r>
        <w:rPr>
          <w:rFonts w:ascii="Calibri" w:cs="Calibri" w:eastAsia="Calibri" w:hAnsi="Calibri"/>
          <w:sz w:val="17"/>
          <w:szCs w:val="17"/>
        </w:rPr>
        <w:t xml:space="preserve">Gravimetric TSS is supported by the ovens and balances; the spectrophotometric method is not - no instrument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JSEA-PRO-LAB-304-004, tab JSEA_LAB / SWI-LAB</w:t>
      </w:r>
    </w:p>
    <w:p>
      <w:pPr>
        <w:pStyle w:val="ListParagraph"/>
        <w:numPr>
          <w:ilvl w:val="0"/>
          <w:numId w:val="1"/>
        </w:numPr>
        <w:spacing w:after="60" w:line="245"/>
      </w:pPr>
      <w:r>
        <w:rPr>
          <w:rFonts w:ascii="Calibri" w:cs="Calibri" w:eastAsia="Calibri" w:hAnsi="Calibri"/>
          <w:sz w:val="17"/>
          <w:szCs w:val="17"/>
        </w:rPr>
        <w:t xml:space="preserve">ILS quote Q0023979: Hanna HI902C titrator with ISE, plus burette stands and clamps for the manual check</w:t>
      </w:r>
    </w:p>
    <w:p>
      <w:pPr>
        <w:pStyle w:val="ListParagraph"/>
        <w:numPr>
          <w:ilvl w:val="0"/>
          <w:numId w:val="1"/>
        </w:numPr>
        <w:spacing w:after="60" w:line="245"/>
      </w:pPr>
      <w:r>
        <w:rPr>
          <w:rFonts w:ascii="Calibri" w:cs="Calibri" w:eastAsia="Calibri" w:hAnsi="Calibri"/>
          <w:sz w:val="17"/>
          <w:szCs w:val="17"/>
        </w:rPr>
        <w:t xml:space="preserve">Heritage register line JSEA-PRO-LAB-304-005, tab JSEA_LAB / SWI-LAB</w:t>
      </w:r>
    </w:p>
    <w:p>
      <w:pPr>
        <w:pStyle w:val="ListParagraph"/>
        <w:numPr>
          <w:ilvl w:val="0"/>
          <w:numId w:val="1"/>
        </w:numPr>
        <w:spacing w:after="60" w:line="245"/>
      </w:pPr>
      <w:r>
        <w:rPr>
          <w:rFonts w:ascii="Calibri" w:cs="Calibri" w:eastAsia="Calibri" w:hAnsi="Calibri"/>
          <w:sz w:val="17"/>
          <w:szCs w:val="17"/>
        </w:rPr>
        <w:t xml:space="preserve">Colorimetric free cyanide needs a spectrophotometer - none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JSEA-PRO-LAB-304-006, tab JSEA_LAB / SWI-LAB</w:t>
      </w:r>
    </w:p>
    <w:p>
      <w:pPr>
        <w:pStyle w:val="ListParagraph"/>
        <w:numPr>
          <w:ilvl w:val="0"/>
          <w:numId w:val="1"/>
        </w:numPr>
        <w:spacing w:after="60" w:line="245"/>
      </w:pPr>
      <w:r>
        <w:rPr>
          <w:rFonts w:ascii="Calibri" w:cs="Calibri" w:eastAsia="Calibri" w:hAnsi="Calibri"/>
          <w:sz w:val="17"/>
          <w:szCs w:val="17"/>
        </w:rPr>
        <w:t xml:space="preserve">Microdiffusion needs cells and a spectrophotometer - neither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JSEA-PRO-LAB-304-007, tab JSEA_LAB / SWI-LAB</w:t>
      </w:r>
    </w:p>
    <w:p>
      <w:pPr>
        <w:pStyle w:val="ListParagraph"/>
        <w:numPr>
          <w:ilvl w:val="0"/>
          <w:numId w:val="1"/>
        </w:numPr>
        <w:spacing w:after="60" w:line="245"/>
      </w:pPr>
      <w:r>
        <w:rPr>
          <w:rFonts w:ascii="Calibri" w:cs="Calibri" w:eastAsia="Calibri" w:hAnsi="Calibri"/>
          <w:sz w:val="17"/>
          <w:szCs w:val="17"/>
        </w:rPr>
        <w:t xml:space="preserve">No cyanide distillation train in ILS quote Q0023979. WAD cyanide is a licence-condition analysis for a cyanide plant - resolve before commissioning</w:t>
      </w:r>
    </w:p>
    <w:p>
      <w:pPr>
        <w:pStyle w:val="ListParagraph"/>
        <w:numPr>
          <w:ilvl w:val="0"/>
          <w:numId w:val="1"/>
        </w:numPr>
        <w:spacing w:after="60" w:line="245"/>
      </w:pPr>
      <w:r>
        <w:rPr>
          <w:rFonts w:ascii="Calibri" w:cs="Calibri" w:eastAsia="Calibri" w:hAnsi="Calibri"/>
          <w:sz w:val="17"/>
          <w:szCs w:val="17"/>
        </w:rPr>
        <w:t xml:space="preserve">Heritage register line JSEA-PRO-LAB-304-008, tab JSEA_LAB / SWI-LAB</w:t>
      </w:r>
    </w:p>
    <w:p>
      <w:pPr>
        <w:pStyle w:val="ListParagraph"/>
        <w:numPr>
          <w:ilvl w:val="0"/>
          <w:numId w:val="1"/>
        </w:numPr>
        <w:spacing w:after="60" w:line="245"/>
      </w:pPr>
      <w:r>
        <w:rPr>
          <w:rFonts w:ascii="Calibri" w:cs="Calibri" w:eastAsia="Calibri" w:hAnsi="Calibri"/>
          <w:sz w:val="17"/>
          <w:szCs w:val="17"/>
        </w:rPr>
        <w:t xml:space="preserve">No cyanide distillation train in ILS quote Q0023979. Total cyanide cannot be run on site as equipped</w:t>
      </w:r>
    </w:p>
    <w:p>
      <w:pPr>
        <w:pStyle w:val="ListParagraph"/>
        <w:numPr>
          <w:ilvl w:val="0"/>
          <w:numId w:val="1"/>
        </w:numPr>
        <w:spacing w:after="60" w:line="245"/>
      </w:pPr>
      <w:r>
        <w:rPr>
          <w:rFonts w:ascii="Calibri" w:cs="Calibri" w:eastAsia="Calibri" w:hAnsi="Calibri"/>
          <w:sz w:val="17"/>
          <w:szCs w:val="17"/>
        </w:rPr>
        <w:t xml:space="preserve">Heritage register line JSEA-PRO-LAB-304-009, tab JSEA_LAB / SWI-LAB</w:t>
      </w:r>
    </w:p>
    <w:p>
      <w:pPr>
        <w:pStyle w:val="ListParagraph"/>
        <w:numPr>
          <w:ilvl w:val="0"/>
          <w:numId w:val="1"/>
        </w:numPr>
        <w:spacing w:after="60" w:line="245"/>
      </w:pPr>
      <w:r>
        <w:rPr>
          <w:rFonts w:ascii="Calibri" w:cs="Calibri" w:eastAsia="Calibri" w:hAnsi="Calibri"/>
          <w:sz w:val="17"/>
          <w:szCs w:val="17"/>
        </w:rPr>
        <w:t xml:space="preserve">No distillation apparatus purchased, so there is nothing to leak-test</w:t>
      </w:r>
    </w:p>
    <w:p>
      <w:pPr>
        <w:pStyle w:val="ListParagraph"/>
        <w:numPr>
          <w:ilvl w:val="0"/>
          <w:numId w:val="1"/>
        </w:numPr>
        <w:spacing w:after="60" w:line="245"/>
      </w:pPr>
      <w:r>
        <w:rPr>
          <w:rFonts w:ascii="Calibri" w:cs="Calibri" w:eastAsia="Calibri" w:hAnsi="Calibri"/>
          <w:sz w:val="17"/>
          <w:szCs w:val="17"/>
        </w:rPr>
        <w:t xml:space="preserve">Heritage register line JSEA-PRO-LAB-304-010, tab JSEA_LAB / SWI-LAB</w:t>
      </w:r>
    </w:p>
    <w:p>
      <w:pPr>
        <w:pStyle w:val="ListParagraph"/>
        <w:numPr>
          <w:ilvl w:val="0"/>
          <w:numId w:val="1"/>
        </w:numPr>
        <w:spacing w:after="60" w:line="245"/>
      </w:pPr>
      <w:r>
        <w:rPr>
          <w:rFonts w:ascii="Calibri" w:cs="Calibri" w:eastAsia="Calibri" w:hAnsi="Calibri"/>
          <w:sz w:val="17"/>
          <w:szCs w:val="17"/>
        </w:rPr>
        <w:t xml:space="preserve">KBK-MIR-LAB-ENV-SOP-082; bottle roller and titrator both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JSEA-PRO-LAB-304-011, tab JSEA_LAB / SWI-LAB</w:t>
      </w:r>
    </w:p>
    <w:p>
      <w:pPr>
        <w:pStyle w:val="ListParagraph"/>
        <w:numPr>
          <w:ilvl w:val="0"/>
          <w:numId w:val="1"/>
        </w:numPr>
        <w:spacing w:after="60" w:line="245"/>
      </w:pPr>
      <w:r>
        <w:rPr>
          <w:rFonts w:ascii="Calibri" w:cs="Calibri" w:eastAsia="Calibri" w:hAnsi="Calibri"/>
          <w:sz w:val="17"/>
          <w:szCs w:val="17"/>
        </w:rPr>
        <w:t xml:space="preserve">KBK-MIR-LAB-ENV-SOP-092; depends on total cyanide capability, which is not equipped</w:t>
      </w:r>
    </w:p>
    <w:p>
      <w:pPr>
        <w:pStyle w:val="ListParagraph"/>
        <w:numPr>
          <w:ilvl w:val="0"/>
          <w:numId w:val="1"/>
        </w:numPr>
        <w:spacing w:after="60" w:line="245"/>
      </w:pPr>
      <w:r>
        <w:rPr>
          <w:rFonts w:ascii="Calibri" w:cs="Calibri" w:eastAsia="Calibri" w:hAnsi="Calibri"/>
          <w:sz w:val="17"/>
          <w:szCs w:val="17"/>
        </w:rPr>
        <w:t xml:space="preserve">Heritage register line JSEA-PRO-LAB-304-012, tab JSEA_LAB / SWI-LAB</w:t>
      </w:r>
    </w:p>
    <w:p>
      <w:pPr>
        <w:pStyle w:val="ListParagraph"/>
        <w:numPr>
          <w:ilvl w:val="0"/>
          <w:numId w:val="1"/>
        </w:numPr>
        <w:spacing w:after="60" w:line="245"/>
      </w:pPr>
      <w:r>
        <w:rPr>
          <w:rFonts w:ascii="Calibri" w:cs="Calibri" w:eastAsia="Calibri" w:hAnsi="Calibri"/>
          <w:sz w:val="17"/>
          <w:szCs w:val="17"/>
        </w:rPr>
        <w:t xml:space="preserve">Porphyrine method needs a spectrophotometer. Copper is achievable by AAS instead - confirm the method change</w:t>
      </w:r>
    </w:p>
    <w:p>
      <w:pPr>
        <w:pStyle w:val="ListParagraph"/>
        <w:numPr>
          <w:ilvl w:val="0"/>
          <w:numId w:val="1"/>
        </w:numPr>
        <w:spacing w:after="60" w:line="245"/>
      </w:pPr>
      <w:r>
        <w:rPr>
          <w:rFonts w:ascii="Calibri" w:cs="Calibri" w:eastAsia="Calibri" w:hAnsi="Calibri"/>
          <w:sz w:val="17"/>
          <w:szCs w:val="17"/>
        </w:rPr>
        <w:t xml:space="preserve">Heritage register line JSEA-PRO-LAB-304-013, tab JSEA_LAB / SWI-LAB</w:t>
      </w:r>
    </w:p>
    <w:p>
      <w:pPr>
        <w:pStyle w:val="ListParagraph"/>
        <w:numPr>
          <w:ilvl w:val="0"/>
          <w:numId w:val="1"/>
        </w:numPr>
        <w:spacing w:after="60" w:line="245"/>
      </w:pPr>
      <w:r>
        <w:rPr>
          <w:rFonts w:ascii="Calibri" w:cs="Calibri" w:eastAsia="Calibri" w:hAnsi="Calibri"/>
          <w:sz w:val="17"/>
          <w:szCs w:val="17"/>
        </w:rPr>
        <w:t xml:space="preserve">Phenanthroline method needs a spectrophotometer. Iron is achievable by AAS instead - confirm the method change</w:t>
      </w:r>
    </w:p>
    <w:p>
      <w:pPr>
        <w:pStyle w:val="ListParagraph"/>
        <w:numPr>
          <w:ilvl w:val="0"/>
          <w:numId w:val="1"/>
        </w:numPr>
        <w:spacing w:after="60" w:line="245"/>
      </w:pPr>
      <w:r>
        <w:rPr>
          <w:rFonts w:ascii="Calibri" w:cs="Calibri" w:eastAsia="Calibri" w:hAnsi="Calibri"/>
          <w:sz w:val="17"/>
          <w:szCs w:val="17"/>
        </w:rPr>
        <w:t xml:space="preserve">Heritage register line JSEA-PRO-LAB-304-014, tab JSEA_LAB / SWI-LAB</w:t>
      </w:r>
    </w:p>
    <w:p>
      <w:pPr>
        <w:pStyle w:val="ListParagraph"/>
        <w:numPr>
          <w:ilvl w:val="0"/>
          <w:numId w:val="1"/>
        </w:numPr>
        <w:spacing w:after="60" w:line="245"/>
      </w:pPr>
      <w:r>
        <w:rPr>
          <w:rFonts w:ascii="Calibri" w:cs="Calibri" w:eastAsia="Calibri" w:hAnsi="Calibri"/>
          <w:sz w:val="17"/>
          <w:szCs w:val="17"/>
        </w:rPr>
        <w:t xml:space="preserve">KBK-MIR-LAB-ENV-SOP-098 Preparasi larutan untuk logam terlarut, AAS</w:t>
      </w:r>
    </w:p>
    <w:p>
      <w:pPr>
        <w:pStyle w:val="ListParagraph"/>
        <w:numPr>
          <w:ilvl w:val="0"/>
          <w:numId w:val="1"/>
        </w:numPr>
        <w:spacing w:after="60" w:line="245"/>
      </w:pPr>
      <w:r>
        <w:rPr>
          <w:rFonts w:ascii="Calibri" w:cs="Calibri" w:eastAsia="Calibri" w:hAnsi="Calibri"/>
          <w:sz w:val="17"/>
          <w:szCs w:val="17"/>
        </w:rPr>
        <w:t xml:space="preserve">Heritage register line JSEA-PRO-LAB-304-015, tab JSEA_LAB / SWI-LAB</w:t>
      </w:r>
    </w:p>
    <w:p>
      <w:pPr>
        <w:pStyle w:val="ListParagraph"/>
        <w:numPr>
          <w:ilvl w:val="0"/>
          <w:numId w:val="1"/>
        </w:numPr>
        <w:spacing w:after="60" w:line="245"/>
      </w:pPr>
      <w:r>
        <w:rPr>
          <w:rFonts w:ascii="Calibri" w:cs="Calibri" w:eastAsia="Calibri" w:hAnsi="Calibri"/>
          <w:sz w:val="17"/>
          <w:szCs w:val="17"/>
        </w:rPr>
        <w:t xml:space="preserve">KBK-MIR-LAB-ENV-SOP-078 and -080; peroxide, pH meter and hotplates all supported by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JSEA-PRO-LAB-304-016, tab JSEA_LAB / SWI-LAB</w:t>
      </w:r>
    </w:p>
    <w:p>
      <w:pPr>
        <w:pStyle w:val="ListParagraph"/>
        <w:numPr>
          <w:ilvl w:val="0"/>
          <w:numId w:val="1"/>
        </w:numPr>
        <w:spacing w:after="60" w:line="245"/>
      </w:pPr>
      <w:r>
        <w:rPr>
          <w:rFonts w:ascii="Calibri" w:cs="Calibri" w:eastAsia="Calibri" w:hAnsi="Calibri"/>
          <w:sz w:val="17"/>
          <w:szCs w:val="17"/>
        </w:rPr>
        <w:t xml:space="preserve">KBK-MIR-LAB-ENV-SOP-079; the HI902C titrator suits acid-base titration</w:t>
      </w:r>
    </w:p>
    <w:p>
      <w:pPr>
        <w:pStyle w:val="ListParagraph"/>
        <w:numPr>
          <w:ilvl w:val="0"/>
          <w:numId w:val="1"/>
        </w:numPr>
        <w:spacing w:after="60" w:line="245"/>
      </w:pPr>
      <w:r>
        <w:rPr>
          <w:rFonts w:ascii="Calibri" w:cs="Calibri" w:eastAsia="Calibri" w:hAnsi="Calibri"/>
          <w:sz w:val="17"/>
          <w:szCs w:val="17"/>
        </w:rPr>
        <w:t xml:space="preserve">Heritage register line JSEA-PRO-LAB-304-017, tab JSEA_LAB / SWI-LAB</w:t>
      </w:r>
    </w:p>
    <w:p>
      <w:pPr>
        <w:pStyle w:val="ListParagraph"/>
        <w:numPr>
          <w:ilvl w:val="0"/>
          <w:numId w:val="1"/>
        </w:numPr>
        <w:spacing w:after="60" w:line="245"/>
      </w:pPr>
      <w:r>
        <w:rPr>
          <w:rFonts w:ascii="Calibri" w:cs="Calibri" w:eastAsia="Calibri" w:hAnsi="Calibri"/>
          <w:sz w:val="17"/>
          <w:szCs w:val="17"/>
        </w:rPr>
        <w:t xml:space="preserve">pH is supported but there is no conductivity meter in ILS quote Q0023979, so EC(1:2) cannot be run</w:t>
      </w:r>
    </w:p>
    <w:p>
      <w:pPr>
        <w:pStyle w:val="ListParagraph"/>
        <w:numPr>
          <w:ilvl w:val="0"/>
          <w:numId w:val="1"/>
        </w:numPr>
        <w:spacing w:after="60" w:line="245"/>
      </w:pPr>
      <w:r>
        <w:rPr>
          <w:rFonts w:ascii="Calibri" w:cs="Calibri" w:eastAsia="Calibri" w:hAnsi="Calibri"/>
          <w:sz w:val="17"/>
          <w:szCs w:val="17"/>
        </w:rPr>
        <w:t xml:space="preserve">Heritage register line JSEA-PRO-LAB-304-018, tab JSEA_LAB / SWI-LAB</w:t>
      </w:r>
    </w:p>
    <w:p>
      <w:pPr>
        <w:pStyle w:val="ListParagraph"/>
        <w:numPr>
          <w:ilvl w:val="0"/>
          <w:numId w:val="1"/>
        </w:numPr>
        <w:spacing w:after="60" w:line="245"/>
      </w:pPr>
      <w:r>
        <w:rPr>
          <w:rFonts w:ascii="Calibri" w:cs="Calibri" w:eastAsia="Calibri" w:hAnsi="Calibri"/>
          <w:sz w:val="17"/>
          <w:szCs w:val="17"/>
        </w:rPr>
        <w:t xml:space="preserve">KBK-MIR-LAB-ENV-SOP-076 post-distillation and -077 free cyanide reagents</w:t>
      </w:r>
    </w:p>
    <w:p>
      <w:pPr>
        <w:pStyle w:val="ListParagraph"/>
        <w:numPr>
          <w:ilvl w:val="0"/>
          <w:numId w:val="1"/>
        </w:numPr>
        <w:spacing w:after="60" w:line="245"/>
      </w:pPr>
      <w:r>
        <w:rPr>
          <w:rFonts w:ascii="Calibri" w:cs="Calibri" w:eastAsia="Calibri" w:hAnsi="Calibri"/>
          <w:sz w:val="17"/>
          <w:szCs w:val="17"/>
        </w:rPr>
        <w:t xml:space="preserve">Heritage register line JSEA-PRO-LAB-304-019, tab JSEA_LAB / SWI-LAB</w:t>
      </w:r>
    </w:p>
    <w:p>
      <w:pPr>
        <w:pStyle w:val="ListParagraph"/>
        <w:numPr>
          <w:ilvl w:val="0"/>
          <w:numId w:val="1"/>
        </w:numPr>
        <w:spacing w:after="60" w:line="245"/>
      </w:pPr>
      <w:r>
        <w:rPr>
          <w:rFonts w:ascii="Calibri" w:cs="Calibri" w:eastAsia="Calibri" w:hAnsi="Calibri"/>
          <w:sz w:val="17"/>
          <w:szCs w:val="17"/>
        </w:rPr>
        <w:t xml:space="preserve">KBK-MIR-LAB-ENV-SOP-093 rhodanine and -094 phenolphthalein</w:t>
      </w:r>
    </w:p>
    <w:p>
      <w:pPr>
        <w:pStyle w:val="ListParagraph"/>
        <w:numPr>
          <w:ilvl w:val="0"/>
          <w:numId w:val="1"/>
        </w:numPr>
        <w:spacing w:after="60" w:line="245"/>
      </w:pPr>
      <w:r>
        <w:rPr>
          <w:rFonts w:ascii="Calibri" w:cs="Calibri" w:eastAsia="Calibri" w:hAnsi="Calibri"/>
          <w:sz w:val="17"/>
          <w:szCs w:val="17"/>
        </w:rPr>
        <w:t xml:space="preserve">Heritage register line JSEA-PRO-LAB-304-020, tab JSEA_LAB / SWI-LAB</w:t>
      </w:r>
    </w:p>
    <w:p>
      <w:pPr>
        <w:pStyle w:val="ListParagraph"/>
        <w:numPr>
          <w:ilvl w:val="0"/>
          <w:numId w:val="1"/>
        </w:numPr>
        <w:spacing w:after="60" w:line="245"/>
      </w:pPr>
      <w:r>
        <w:rPr>
          <w:rFonts w:ascii="Calibri" w:cs="Calibri" w:eastAsia="Calibri" w:hAnsi="Calibri"/>
          <w:sz w:val="17"/>
          <w:szCs w:val="17"/>
        </w:rPr>
        <w:t xml:space="preserve">KBK-MIR-LAB-ENV-SOP-073 Larutan hidrogen peroksida 15%</w:t>
      </w:r>
    </w:p>
    <w:p>
      <w:pPr>
        <w:pStyle w:val="ListParagraph"/>
        <w:numPr>
          <w:ilvl w:val="0"/>
          <w:numId w:val="1"/>
        </w:numPr>
        <w:spacing w:after="60" w:line="245"/>
      </w:pPr>
      <w:r>
        <w:rPr>
          <w:rFonts w:ascii="Calibri" w:cs="Calibri" w:eastAsia="Calibri" w:hAnsi="Calibri"/>
          <w:sz w:val="17"/>
          <w:szCs w:val="17"/>
        </w:rPr>
        <w:t xml:space="preserve">Heritage register line JSEA-PRO-LAB-304-021, tab JSEA_LAB / SWI-LAB</w:t>
      </w:r>
    </w:p>
    <w:p>
      <w:pPr>
        <w:pStyle w:val="ListParagraph"/>
        <w:numPr>
          <w:ilvl w:val="0"/>
          <w:numId w:val="1"/>
        </w:numPr>
        <w:spacing w:after="60" w:line="245"/>
      </w:pPr>
      <w:r>
        <w:rPr>
          <w:rFonts w:ascii="Calibri" w:cs="Calibri" w:eastAsia="Calibri" w:hAnsi="Calibri"/>
          <w:sz w:val="17"/>
          <w:szCs w:val="17"/>
        </w:rPr>
        <w:t xml:space="preserve">KBK-MIR-LAB-ENV-SOP-083 Larutan magnesium klorida 2,5 M</w:t>
      </w:r>
    </w:p>
    <w:p>
      <w:pPr>
        <w:pStyle w:val="ListParagraph"/>
        <w:numPr>
          <w:ilvl w:val="0"/>
          <w:numId w:val="1"/>
        </w:numPr>
        <w:spacing w:after="60" w:line="245"/>
      </w:pPr>
      <w:r>
        <w:rPr>
          <w:rFonts w:ascii="Calibri" w:cs="Calibri" w:eastAsia="Calibri" w:hAnsi="Calibri"/>
          <w:sz w:val="17"/>
          <w:szCs w:val="17"/>
        </w:rPr>
        <w:t xml:space="preserve">Heritage register line JSEA-PRO-LAB-304-022, tab JSEA_LAB / SWI-LAB</w:t>
      </w:r>
    </w:p>
    <w:p>
      <w:pPr>
        <w:pStyle w:val="ListParagraph"/>
        <w:numPr>
          <w:ilvl w:val="0"/>
          <w:numId w:val="1"/>
        </w:numPr>
        <w:spacing w:after="60" w:line="245"/>
      </w:pPr>
      <w:r>
        <w:rPr>
          <w:rFonts w:ascii="Calibri" w:cs="Calibri" w:eastAsia="Calibri" w:hAnsi="Calibri"/>
          <w:sz w:val="17"/>
          <w:szCs w:val="17"/>
        </w:rPr>
        <w:t xml:space="preserve">KBK-MIR-LAB-ENV-SOP-084 asam sulfat (1+1) and -104 asam nitrat (1+1)</w:t>
      </w:r>
    </w:p>
    <w:p>
      <w:pPr>
        <w:pStyle w:val="ListParagraph"/>
        <w:numPr>
          <w:ilvl w:val="0"/>
          <w:numId w:val="1"/>
        </w:numPr>
        <w:spacing w:after="60" w:line="245"/>
      </w:pPr>
      <w:r>
        <w:rPr>
          <w:rFonts w:ascii="Calibri" w:cs="Calibri" w:eastAsia="Calibri" w:hAnsi="Calibri"/>
          <w:sz w:val="17"/>
          <w:szCs w:val="17"/>
        </w:rPr>
        <w:t xml:space="preserve">Heritage register line JSEA-PRO-LAB-304-023, tab JSEA_LAB / SWI-LAB</w:t>
      </w:r>
    </w:p>
    <w:p>
      <w:pPr>
        <w:pStyle w:val="ListParagraph"/>
        <w:numPr>
          <w:ilvl w:val="0"/>
          <w:numId w:val="1"/>
        </w:numPr>
        <w:spacing w:after="60" w:line="245"/>
      </w:pPr>
      <w:r>
        <w:rPr>
          <w:rFonts w:ascii="Calibri" w:cs="Calibri" w:eastAsia="Calibri" w:hAnsi="Calibri"/>
          <w:sz w:val="17"/>
          <w:szCs w:val="17"/>
        </w:rPr>
        <w:t xml:space="preserve">KBK-MIR-LAB-ENV-SOP-074 Larutan standar NaOH 0.1 M untuk uji NAG</w:t>
      </w:r>
    </w:p>
    <w:p>
      <w:pPr>
        <w:pStyle w:val="ListParagraph"/>
        <w:numPr>
          <w:ilvl w:val="0"/>
          <w:numId w:val="1"/>
        </w:numPr>
        <w:spacing w:after="60" w:line="245"/>
      </w:pPr>
      <w:r>
        <w:rPr>
          <w:rFonts w:ascii="Calibri" w:cs="Calibri" w:eastAsia="Calibri" w:hAnsi="Calibri"/>
          <w:sz w:val="17"/>
          <w:szCs w:val="17"/>
        </w:rPr>
        <w:t xml:space="preserve">Heritage register line JSEA-PRO-LAB-304-024, tab JSEA_LAB / SWI-LAB</w:t>
      </w:r>
    </w:p>
    <w:p>
      <w:pPr>
        <w:pStyle w:val="ListParagraph"/>
        <w:numPr>
          <w:ilvl w:val="0"/>
          <w:numId w:val="1"/>
        </w:numPr>
        <w:spacing w:after="60" w:line="245"/>
      </w:pPr>
      <w:r>
        <w:rPr>
          <w:rFonts w:ascii="Calibri" w:cs="Calibri" w:eastAsia="Calibri" w:hAnsi="Calibri"/>
          <w:sz w:val="17"/>
          <w:szCs w:val="17"/>
        </w:rPr>
        <w:t xml:space="preserve">TSF and WTP sample points undefined - P&amp;IDs 4034-091-J-001 and -092-J-001 not held</w:t>
      </w:r>
    </w:p>
    <w:p>
      <w:pPr>
        <w:pStyle w:val="ListParagraph"/>
        <w:numPr>
          <w:ilvl w:val="0"/>
          <w:numId w:val="1"/>
        </w:numPr>
        <w:spacing w:after="60" w:line="245"/>
      </w:pPr>
      <w:r>
        <w:rPr>
          <w:rFonts w:ascii="Calibri" w:cs="Calibri" w:eastAsia="Calibri" w:hAnsi="Calibri"/>
          <w:sz w:val="17"/>
          <w:szCs w:val="17"/>
        </w:rPr>
        <w:t xml:space="preserve">Heritage register line JSEA-PRO-LAB-304-025,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procedure and the documents beneath it are reviewed every 12 months, and immediately after any incident, plant change, equipment change or change to the schedule.</w:t>
      </w:r>
    </w:p>
    <w:p>
      <w:pPr>
        <w:pStyle w:val="Heading1"/>
        <w:spacing w:after="120" w:before="260"/>
      </w:pPr>
      <w:r>
        <w:rPr>
          <w:rFonts w:ascii="Calibri" w:cs="Calibri" w:eastAsia="Calibri" w:hAnsi="Calibri"/>
          <w:b/>
          <w:bCs/>
          <w:color w:val="1F3864"/>
          <w:sz w:val="24"/>
          <w:szCs w:val="24"/>
        </w:rPr>
        <w:t xml:space="preserve">11  REGISTER TRACEABILITY</w:t>
      </w:r>
    </w:p>
    <w:p>
      <w:pPr>
        <w:spacing w:after="60" w:before="0" w:line="245"/>
      </w:pPr>
      <w:r>
        <w:rPr>
          <w:rFonts w:ascii="Calibri" w:cs="Calibri" w:eastAsia="Calibri" w:hAnsi="Calibri"/>
          <w:sz w:val="17"/>
          <w:szCs w:val="17"/>
        </w:rPr>
        <w:t xml:space="preserve">The three-digit suffix is shared between the two registers, so SWI-PRO-LAB-304-011 is the work instruction for JSEA-PRO-LAB-304-011.</w:t>
      </w:r>
    </w:p>
    <w:p>
      <w:pPr>
        <w:spacing w:after="60" w:before="0" w:line="245"/>
      </w:pPr>
      <w:r>
        <w:rPr>
          <w:rFonts w:ascii="Calibri" w:cs="Calibri" w:eastAsia="Calibri" w:hAnsi="Calibri"/>
          <w:sz w:val="17"/>
          <w:szCs w:val="17"/>
        </w:rPr>
        <w:t xml:space="preserve">Registers: HM-MMM-WHS-REG-JSEA-PRO-updated_10.xlsx tab JSEA_LAB, and HM-MMM-WHS-REG-XXX-R00-SWI-SWMS.xlsx tab SWI-LAB. GGT working masters are MM-4034-033-OR-03-JSEA-Register-RevF.xlsx and MM-4034-033-OR-03-SWI-Register-RevF.xlsx.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Item</w:t>
            </w:r>
          </w:p>
        </w:tc>
        <w:tc>
          <w:tcPr>
            <w:tcW w:type="dxa" w:w="3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Count</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Register lines in area 304</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25</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Hazard analyses issued</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25</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Work instructions issued</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25</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Desk-based tasks with a JSEA but no work instruction</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Safety-critical</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22</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Issued but NOT FOR USE</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10</w:t>
            </w:r>
          </w:p>
        </w:tc>
      </w:tr>
    </w:tbl>
    <w:p>
      <w:pPr>
        <w:spacing w:after="60" w:before="0" w:line="245"/>
      </w:pP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HM-PRC-VXX-PRO215  ·  Laboratory Environmental and Cyanide Analysis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