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PROCEDURE</w:t>
      </w:r>
    </w:p>
    <w:p>
      <w:pPr>
        <w:pBdr>
          <w:bottom w:val="single" w:sz="8" w:space="4" w:color="1F3864"/>
        </w:pBdr>
        <w:spacing w:after="80" w:before="0" w:line="300"/>
      </w:pPr>
      <w:r>
        <w:rPr>
          <w:rFonts w:ascii="Calibri" w:cs="Calibri" w:eastAsia="Calibri" w:hAnsi="Calibri"/>
          <w:b/>
          <w:bCs/>
          <w:color w:val="1F3864"/>
          <w:sz w:val="32"/>
          <w:szCs w:val="32"/>
        </w:rPr>
        <w:t xml:space="preserve">Bullion Assay and Custody</w:t>
      </w:r>
    </w:p>
    <w:p>
      <w:pPr>
        <w:spacing w:after="140" w:before="0" w:line="245"/>
      </w:pPr>
      <w:r>
        <w:rPr>
          <w:rFonts w:ascii="Calibri" w:cs="Calibri" w:eastAsia="Calibri" w:hAnsi="Calibri"/>
          <w:color w:val="555555"/>
          <w:sz w:val="17"/>
          <w:szCs w:val="17"/>
        </w:rPr>
        <w:t xml:space="preserve">Standard Work Procedure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Title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Bullion Assay and Custody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Scope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Bullion assay and custody - bullion sample preparation by rolling, cupellation, micro balance operation, prill weighing and assay calculation, sample custody and reconciliation, and hot work in the bullion area.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306 Bullion Assay, on tabs JSEA_LAB and SWI-LAB</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Hazard analyses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6 (JSEA-PRO-LAB-306-001 to -006)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procedure covers bullion assay and custody at the Mt. Morgan processing plant. It is the procedure that the 6 hazard analyses and 5 work instructions in register area 306 sit under.</w:t>
      </w:r>
    </w:p>
    <w:p>
      <w:pPr>
        <w:spacing w:after="60" w:before="0" w:line="245"/>
      </w:pPr>
      <w:r>
        <w:rPr>
          <w:rFonts w:ascii="Calibri" w:cs="Calibri" w:eastAsia="Calibri" w:hAnsi="Calibri"/>
          <w:sz w:val="17"/>
          <w:szCs w:val="17"/>
        </w:rPr>
        <w:t xml:space="preserve">Bullion assay and custody - bullion sample preparation by rolling, cupellation, micro balance operation, prill weighing and assay calculation, sample custody and reconciliation, and hot work in the bullion area.</w:t>
      </w:r>
    </w:p>
    <w:p>
      <w:pPr>
        <w:pStyle w:val="Heading1"/>
        <w:spacing w:after="120" w:before="260"/>
      </w:pPr>
      <w:r>
        <w:rPr>
          <w:rFonts w:ascii="Calibri" w:cs="Calibri" w:eastAsia="Calibri" w:hAnsi="Calibri"/>
          <w:b/>
          <w:bCs/>
          <w:color w:val="1F3864"/>
          <w:sz w:val="24"/>
          <w:szCs w:val="24"/>
        </w:rPr>
        <w:t xml:space="preserve">2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Laboratory Technician</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Carry out the task to the schedule and to the work instruction.</w:t>
            </w:r>
          </w:p>
          <w:p>
            <w:pPr>
              <w:spacing w:after="30" w:line="235"/>
            </w:pPr>
            <w:r>
              <w:rPr>
                <w:rFonts w:ascii="Calibri" w:cs="Calibri" w:eastAsia="Calibri" w:hAnsi="Calibri"/>
                <w:sz w:val="16"/>
                <w:szCs w:val="16"/>
              </w:rPr>
              <w:t xml:space="preserve">Only carry out work where competent and authorised to do so.</w:t>
            </w:r>
          </w:p>
          <w:p>
            <w:pPr>
              <w:spacing w:after="30" w:line="235"/>
            </w:pPr>
            <w:r>
              <w:rPr>
                <w:rFonts w:ascii="Calibri" w:cs="Calibri" w:eastAsia="Calibri" w:hAnsi="Calibri"/>
                <w:sz w:val="16"/>
                <w:szCs w:val="16"/>
              </w:rPr>
              <w:t xml:space="preserve">Record what was actually done. Work not done is recorded as not done - never invented and never back-filled.</w:t>
            </w:r>
          </w:p>
          <w:p>
            <w:pPr>
              <w:spacing w:after="0" w:line="235"/>
            </w:pPr>
            <w:r>
              <w:rPr>
                <w:rFonts w:ascii="Calibri" w:cs="Calibri" w:eastAsia="Calibri" w:hAnsi="Calibri"/>
                <w:sz w:val="16"/>
                <w:szCs w:val="16"/>
              </w:rPr>
              <w:t xml:space="preserve">Stop and report if any control in the JSEA is not in place.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Laboratory Supervisor</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Authorise the task and confirm the area is fit before it starts.</w:t>
            </w:r>
          </w:p>
          <w:p>
            <w:pPr>
              <w:spacing w:after="30" w:line="235"/>
            </w:pPr>
            <w:r>
              <w:rPr>
                <w:rFonts w:ascii="Calibri" w:cs="Calibri" w:eastAsia="Calibri" w:hAnsi="Calibri"/>
                <w:sz w:val="16"/>
                <w:szCs w:val="16"/>
              </w:rPr>
              <w:t xml:space="preserve">Know that the task is in progress and where the person is.</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0" w:line="235"/>
            </w:pPr>
            <w:r>
              <w:rPr>
                <w:rFonts w:ascii="Calibri" w:cs="Calibri" w:eastAsia="Calibri" w:hAnsi="Calibri"/>
                <w:sz w:val="16"/>
                <w:szCs w:val="16"/>
              </w:rPr>
              <w:t xml:space="preserve">Act on any off-specification result reported from the task.</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Chief Chemist / Metallurgist</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Set and maintain the schedule - what is done, how often, and what is reported.</w:t>
            </w:r>
          </w:p>
          <w:p>
            <w:pPr>
              <w:spacing w:after="30" w:line="235"/>
            </w:pPr>
            <w:r>
              <w:rPr>
                <w:rFonts w:ascii="Calibri" w:cs="Calibri" w:eastAsia="Calibri" w:hAnsi="Calibri"/>
                <w:sz w:val="16"/>
                <w:szCs w:val="16"/>
              </w:rPr>
              <w:t xml:space="preserve">Review the results and act on the trends.</w:t>
            </w:r>
          </w:p>
          <w:p>
            <w:pPr>
              <w:spacing w:after="0" w:line="235"/>
            </w:pPr>
            <w:r>
              <w:rPr>
                <w:rFonts w:ascii="Calibri" w:cs="Calibri" w:eastAsia="Calibri" w:hAnsi="Calibri"/>
                <w:sz w:val="16"/>
                <w:szCs w:val="16"/>
              </w:rPr>
              <w:t xml:space="preserve">Investigate any variance outside the agreed tolerance before a period is closed.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Laboratory Manager / Superintendent</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are trained and competent.</w:t>
            </w:r>
          </w:p>
          <w:p>
            <w:pPr>
              <w:spacing w:after="30" w:line="235"/>
            </w:pPr>
            <w:r>
              <w:rPr>
                <w:rFonts w:ascii="Calibri" w:cs="Calibri" w:eastAsia="Calibri" w:hAnsi="Calibri"/>
                <w:sz w:val="16"/>
                <w:szCs w:val="16"/>
              </w:rPr>
              <w:t xml:space="preserve">Ensure this procedure and the documents beneath it are reviewed at the stated interval.</w:t>
            </w:r>
          </w:p>
          <w:p>
            <w:pPr>
              <w:spacing w:after="0" w:line="235"/>
            </w:pPr>
            <w:r>
              <w:rPr>
                <w:rFonts w:ascii="Calibri" w:cs="Calibri" w:eastAsia="Calibri" w:hAnsi="Calibri"/>
                <w:sz w:val="16"/>
                <w:szCs w:val="16"/>
              </w:rPr>
              <w:t xml:space="preserve">Approve the risk ranking in the JSEAs.</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6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one per task, giving the step-by-step hazards, controls and risk ranking.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one per task, giving the step-by-step method.</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this document.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Steady state</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Normal operation held for at least 15 to 20 minutes.</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in Areas 041, 051, 071 and 081.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CN Free / WAD CN</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Free cyanide by silver nitrate titration; weak acid dissociable cyanide by distillation.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p>
      <w:pPr>
        <w:spacing w:after="60" w:before="0" w:line="245"/>
      </w:pPr>
      <w:r>
        <w:rPr>
          <w:rFonts w:ascii="Calibri" w:cs="Calibri" w:eastAsia="Calibri" w:hAnsi="Calibri"/>
          <w:sz w:val="17"/>
          <w:szCs w:val="17"/>
        </w:rPr>
        <w:t xml:space="preserve">The step-by-step hazard analysis for each task, with the risk ranking, is in the JSEA for that task. The hazards common across this area are:</w:t>
      </w:r>
    </w:p>
    <w:p>
      <w:pPr>
        <w:pStyle w:val="ListParagraph"/>
        <w:numPr>
          <w:ilvl w:val="0"/>
          <w:numId w:val="1"/>
        </w:numPr>
        <w:spacing w:after="60" w:line="245"/>
      </w:pPr>
      <w:r>
        <w:rPr>
          <w:rFonts w:ascii="Calibri" w:cs="Calibri" w:eastAsia="Calibri" w:hAnsi="Calibri"/>
          <w:sz w:val="17"/>
          <w:szCs w:val="17"/>
        </w:rPr>
        <w:t xml:space="preserve">Exposure to a gold security incident, and to suspicion in one</w:t>
      </w:r>
    </w:p>
    <w:p>
      <w:pPr>
        <w:pStyle w:val="ListParagraph"/>
        <w:numPr>
          <w:ilvl w:val="0"/>
          <w:numId w:val="1"/>
        </w:numPr>
        <w:spacing w:after="60" w:line="245"/>
      </w:pPr>
      <w:r>
        <w:rPr>
          <w:rFonts w:ascii="Calibri" w:cs="Calibri" w:eastAsia="Calibri" w:hAnsi="Calibri"/>
          <w:sz w:val="17"/>
          <w:szCs w:val="17"/>
        </w:rPr>
        <w:t xml:space="preserve">Contact with an agitator, sample cutter, pump or screen that starts without warning</w:t>
      </w:r>
    </w:p>
    <w:p>
      <w:pPr>
        <w:pStyle w:val="ListParagraph"/>
        <w:numPr>
          <w:ilvl w:val="0"/>
          <w:numId w:val="1"/>
        </w:numPr>
        <w:spacing w:after="60" w:line="245"/>
      </w:pPr>
      <w:r>
        <w:rPr>
          <w:rFonts w:ascii="Calibri" w:cs="Calibri" w:eastAsia="Calibri" w:hAnsi="Calibri"/>
          <w:sz w:val="17"/>
          <w:szCs w:val="17"/>
        </w:rPr>
        <w:t xml:space="preserve">Manual handling injury from carrying sample buckets, containers and composite drums</w:t>
      </w:r>
    </w:p>
    <w:p>
      <w:pPr>
        <w:pStyle w:val="ListParagraph"/>
        <w:numPr>
          <w:ilvl w:val="0"/>
          <w:numId w:val="1"/>
        </w:numPr>
        <w:spacing w:after="60" w:line="245"/>
      </w:pPr>
      <w:r>
        <w:rPr>
          <w:rFonts w:ascii="Calibri" w:cs="Calibri" w:eastAsia="Calibri" w:hAnsi="Calibri"/>
          <w:sz w:val="17"/>
          <w:szCs w:val="17"/>
        </w:rPr>
        <w:t xml:space="preserve">Cross-contamination from a container or cutter not cleaned between points</w:t>
      </w:r>
    </w:p>
    <w:p>
      <w:pPr>
        <w:pStyle w:val="ListParagraph"/>
        <w:numPr>
          <w:ilvl w:val="0"/>
          <w:numId w:val="1"/>
        </w:numPr>
        <w:spacing w:after="60" w:line="245"/>
      </w:pPr>
      <w:r>
        <w:rPr>
          <w:rFonts w:ascii="Calibri" w:cs="Calibri" w:eastAsia="Calibri" w:hAnsi="Calibri"/>
          <w:sz w:val="17"/>
          <w:szCs w:val="17"/>
        </w:rPr>
        <w:t xml:space="preserve">Non-representative sample leading to a wrong process decision</w:t>
      </w:r>
    </w:p>
    <w:p>
      <w:pPr>
        <w:pStyle w:val="ListParagraph"/>
        <w:numPr>
          <w:ilvl w:val="0"/>
          <w:numId w:val="1"/>
        </w:numPr>
        <w:spacing w:after="60" w:line="245"/>
      </w:pPr>
      <w:r>
        <w:rPr>
          <w:rFonts w:ascii="Calibri" w:cs="Calibri" w:eastAsia="Calibri" w:hAnsi="Calibri"/>
          <w:sz w:val="17"/>
          <w:szCs w:val="17"/>
        </w:rPr>
        <w:t xml:space="preserve">Contact with hot solution or hot surface at the elution, stripping or regeneration circuits</w:t>
      </w:r>
    </w:p>
    <w:p>
      <w:pPr>
        <w:pStyle w:val="ListParagraph"/>
        <w:numPr>
          <w:ilvl w:val="0"/>
          <w:numId w:val="1"/>
        </w:numPr>
        <w:spacing w:after="60" w:line="245"/>
      </w:pPr>
      <w:r>
        <w:rPr>
          <w:rFonts w:ascii="Calibri" w:cs="Calibri" w:eastAsia="Calibri" w:hAnsi="Calibri"/>
          <w:sz w:val="17"/>
          <w:szCs w:val="17"/>
        </w:rPr>
        <w:t xml:space="preserve">Inhalation of acid fume or reagent vapour at the bench</w:t>
      </w:r>
    </w:p>
    <w:p>
      <w:pPr>
        <w:pStyle w:val="ListParagraph"/>
        <w:numPr>
          <w:ilvl w:val="0"/>
          <w:numId w:val="1"/>
        </w:numPr>
        <w:spacing w:after="60" w:line="245"/>
      </w:pPr>
      <w:r>
        <w:rPr>
          <w:rFonts w:ascii="Calibri" w:cs="Calibri" w:eastAsia="Calibri" w:hAnsi="Calibri"/>
          <w:sz w:val="17"/>
          <w:szCs w:val="17"/>
        </w:rPr>
        <w:t xml:space="preserve">Cuts from broken glassware, and burns from hot glassware</w:t>
      </w:r>
    </w:p>
    <w:p>
      <w:pPr>
        <w:pStyle w:val="ListParagraph"/>
        <w:numPr>
          <w:ilvl w:val="0"/>
          <w:numId w:val="1"/>
        </w:numPr>
        <w:spacing w:after="60" w:line="245"/>
      </w:pPr>
      <w:r>
        <w:rPr>
          <w:rFonts w:ascii="Calibri" w:cs="Calibri" w:eastAsia="Calibri" w:hAnsi="Calibri"/>
          <w:sz w:val="17"/>
          <w:szCs w:val="17"/>
        </w:rPr>
        <w:t xml:space="preserve">An accounting or reconciliation error that hides a real metal loss</w:t>
      </w: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hard hat, safety glasses, high-visibility long-sleeved shirt and long trousers, safety boots, and gloves appropriate to the task.</w:t>
      </w:r>
    </w:p>
    <w:p>
      <w:pPr>
        <w:spacing w:after="60" w:before="0" w:line="245"/>
      </w:pPr>
      <w:r>
        <w:rPr>
          <w:rFonts w:ascii="Calibri" w:cs="Calibri" w:eastAsia="Calibri" w:hAnsi="Calibri"/>
          <w:sz w:val="17"/>
          <w:szCs w:val="17"/>
        </w:rPr>
        <w:t xml:space="preserve">The following is added where the task requires it:</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90" w:before="180" w:line="245"/>
        <w:keepNext/>
      </w:pPr>
      <w:r>
        <w:rPr>
          <w:rFonts w:ascii="Calibri" w:cs="Calibri" w:eastAsia="Calibri" w:hAnsi="Calibri"/>
          <w:b/>
          <w:bCs/>
          <w:color w:val="1F3864"/>
          <w:sz w:val="19"/>
          <w:szCs w:val="19"/>
        </w:rPr>
        <w:t xml:space="preserve">6.2  Procedure and implementation steps</w:t>
      </w:r>
    </w:p>
    <w:p>
      <w:pPr>
        <w:spacing w:after="60" w:before="0" w:line="245"/>
      </w:pPr>
      <w:r>
        <w:rPr>
          <w:rFonts w:ascii="Calibri" w:cs="Calibri" w:eastAsia="Calibri" w:hAnsi="Calibri"/>
          <w:sz w:val="17"/>
          <w:szCs w:val="17"/>
        </w:rPr>
        <w:t xml:space="preserve">The documents below are the controlled method for each task. This procedure does not repeat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4026"/>
        <w:gridCol w:w="1300"/>
      </w:tblGrid>
      <w:tr>
        <w:trPr>
          <w:tblHeader/>
        </w:trPr>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JSEA</w:t>
            </w:r>
          </w:p>
        </w:tc>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Work instruction</w:t>
            </w:r>
          </w:p>
        </w:tc>
        <w:tc>
          <w:tcPr>
            <w:tcW w:type="dxa" w:w="40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13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Class</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JSEA-PRO-LAB-306-001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SWI-PRO-LAB-306-001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Bullion Sample Preparation by Rolling - Bullion Roller</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JSEA-PRO-LAB-306-002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SWI-PRO-LAB-306-002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Cupellation of Bullion Samples - Muffle Furnace SF-3-SD</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JSEA-PRO-LAB-306-003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SWI-PRO-LAB-306-003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Micro Balance Operation and Verification - BM-22, 5.1 g x 0.001 mg</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JSEA-PRO-LAB-306-004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Prill Weighing, Assay Calculation and Reporting</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JSEA-PRO-LAB-306-005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SWI-PRO-LAB-306-005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Bullion Sample Custody, Safe Storage and Reconciliation - Safe NV1</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JSEA-PRO-LAB-306-006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SWI-PRO-LAB-306-006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Hot Work in the Bullion Assay Area - Furnace, Tongs, Blocks and PPE</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bl>
    <w:p>
      <w:pPr>
        <w:spacing w:after="60" w:before="0" w:line="245"/>
      </w:pPr>
    </w:p>
    <w:p>
      <w:pPr>
        <w:spacing w:after="90" w:before="180" w:line="245"/>
        <w:keepNext/>
      </w:pPr>
      <w:r>
        <w:rPr>
          <w:rFonts w:ascii="Calibri" w:cs="Calibri" w:eastAsia="Calibri" w:hAnsi="Calibri"/>
          <w:b/>
          <w:bCs/>
          <w:color w:val="1F3864"/>
          <w:sz w:val="19"/>
          <w:szCs w:val="19"/>
        </w:rPr>
        <w:t xml:space="preserve">6.3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4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Frequency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306-001  Bullion Sample Preparation by Rolling - Bullion Roller</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bullion sample.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306-002  Cupellation of Bullion Samples - Muffle Furnace SF-3-SD</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bullion batch.</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306-003  Micro Balance Operation and Verification - BM-22, 5.1 g x 0.001 mg</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session; verification before use.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306-004  Prill Weighing, Assay Calculation and Reporting</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bullion sample.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306-005  Bullion Sample Custody, Safe Storage and Reconciliation - Safe NV1</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bullion sample, continuously.</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306-006  Hot Work in the Bullion Assay Area - Furnace, Tongs, Blocks and PPE</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furnace operation.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here. Each work instruction carries its own step sequence in Section 6.</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a task in this area is trained and signed off against the work instruction for that task, and has signed on to the matching JSEA at a communication session.</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instruments and calculations used in the task.</w:t>
      </w:r>
    </w:p>
    <w:p>
      <w:pPr>
        <w:pStyle w:val="ListParagraph"/>
        <w:numPr>
          <w:ilvl w:val="0"/>
          <w:numId w:val="1"/>
        </w:numPr>
        <w:spacing w:after="60" w:line="245"/>
      </w:pPr>
      <w:r>
        <w:rPr>
          <w:rFonts w:ascii="Calibri" w:cs="Calibri" w:eastAsia="Calibri" w:hAnsi="Calibri"/>
          <w:sz w:val="17"/>
          <w:szCs w:val="17"/>
        </w:rPr>
        <w:t xml:space="preserve">Refresher at the interval set by the site training matrix, and after any change to the instruction.</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KBK-MIR-LAB-WET-SOP-057 Rolling Sampel Bullion; ILS quote Q0023979: bullion roller</w:t>
      </w:r>
    </w:p>
    <w:p>
      <w:pPr>
        <w:pStyle w:val="ListParagraph"/>
        <w:numPr>
          <w:ilvl w:val="0"/>
          <w:numId w:val="1"/>
        </w:numPr>
        <w:spacing w:after="60" w:line="245"/>
      </w:pPr>
      <w:r>
        <w:rPr>
          <w:rFonts w:ascii="Calibri" w:cs="Calibri" w:eastAsia="Calibri" w:hAnsi="Calibri"/>
          <w:sz w:val="17"/>
          <w:szCs w:val="17"/>
        </w:rPr>
        <w:t xml:space="preserve">Heritage register line JSEA-PRO-LAB-306-001, tab JSEA_LAB / SWI-LAB</w:t>
      </w:r>
    </w:p>
    <w:p>
      <w:pPr>
        <w:pStyle w:val="ListParagraph"/>
        <w:numPr>
          <w:ilvl w:val="0"/>
          <w:numId w:val="1"/>
        </w:numPr>
        <w:spacing w:after="60" w:line="245"/>
      </w:pPr>
      <w:r>
        <w:rPr>
          <w:rFonts w:ascii="Calibri" w:cs="Calibri" w:eastAsia="Calibri" w:hAnsi="Calibri"/>
          <w:sz w:val="17"/>
          <w:szCs w:val="17"/>
        </w:rPr>
        <w:t xml:space="preserve">ILS quote Q0023979: muffle furnace SF-3-SD 3 L, bullion blocks 10-place, tongs and forceps. No cupellation procedure held</w:t>
      </w:r>
    </w:p>
    <w:p>
      <w:pPr>
        <w:pStyle w:val="ListParagraph"/>
        <w:numPr>
          <w:ilvl w:val="0"/>
          <w:numId w:val="1"/>
        </w:numPr>
        <w:spacing w:after="60" w:line="245"/>
      </w:pPr>
      <w:r>
        <w:rPr>
          <w:rFonts w:ascii="Calibri" w:cs="Calibri" w:eastAsia="Calibri" w:hAnsi="Calibri"/>
          <w:sz w:val="17"/>
          <w:szCs w:val="17"/>
        </w:rPr>
        <w:t xml:space="preserve">Heritage register line JSEA-PRO-LAB-306-002, tab JSEA_LAB / SWI-LAB</w:t>
      </w:r>
    </w:p>
    <w:p>
      <w:pPr>
        <w:pStyle w:val="ListParagraph"/>
        <w:numPr>
          <w:ilvl w:val="0"/>
          <w:numId w:val="1"/>
        </w:numPr>
        <w:spacing w:after="60" w:line="245"/>
      </w:pPr>
      <w:r>
        <w:rPr>
          <w:rFonts w:ascii="Calibri" w:cs="Calibri" w:eastAsia="Calibri" w:hAnsi="Calibri"/>
          <w:sz w:val="17"/>
          <w:szCs w:val="17"/>
        </w:rPr>
        <w:t xml:space="preserve">KBK balance verification SOPs are the pattern; ILS quote Q0023979: micro balance BM-22, 5.1 g x 0.001 mg</w:t>
      </w:r>
    </w:p>
    <w:p>
      <w:pPr>
        <w:pStyle w:val="ListParagraph"/>
        <w:numPr>
          <w:ilvl w:val="0"/>
          <w:numId w:val="1"/>
        </w:numPr>
        <w:spacing w:after="60" w:line="245"/>
      </w:pPr>
      <w:r>
        <w:rPr>
          <w:rFonts w:ascii="Calibri" w:cs="Calibri" w:eastAsia="Calibri" w:hAnsi="Calibri"/>
          <w:sz w:val="17"/>
          <w:szCs w:val="17"/>
        </w:rPr>
        <w:t xml:space="preserve">Heritage register line JSEA-PRO-LAB-306-003, tab JSEA_LAB / SWI-LAB</w:t>
      </w:r>
    </w:p>
    <w:p>
      <w:pPr>
        <w:pStyle w:val="ListParagraph"/>
        <w:numPr>
          <w:ilvl w:val="0"/>
          <w:numId w:val="1"/>
        </w:numPr>
        <w:spacing w:after="60" w:line="245"/>
      </w:pPr>
      <w:r>
        <w:rPr>
          <w:rFonts w:ascii="Calibri" w:cs="Calibri" w:eastAsia="Calibri" w:hAnsi="Calibri"/>
          <w:sz w:val="17"/>
          <w:szCs w:val="17"/>
        </w:rPr>
        <w:t xml:space="preserve">No prill weighing or bullion assay calculation method held</w:t>
      </w:r>
    </w:p>
    <w:p>
      <w:pPr>
        <w:pStyle w:val="ListParagraph"/>
        <w:numPr>
          <w:ilvl w:val="0"/>
          <w:numId w:val="1"/>
        </w:numPr>
        <w:spacing w:after="60" w:line="245"/>
      </w:pPr>
      <w:r>
        <w:rPr>
          <w:rFonts w:ascii="Calibri" w:cs="Calibri" w:eastAsia="Calibri" w:hAnsi="Calibri"/>
          <w:sz w:val="17"/>
          <w:szCs w:val="17"/>
        </w:rPr>
        <w:t xml:space="preserve">Heritage register line JSEA-PRO-LAB-306-004, tab JSEA_LAB / SWI-LAB</w:t>
      </w:r>
    </w:p>
    <w:p>
      <w:pPr>
        <w:pStyle w:val="ListParagraph"/>
        <w:numPr>
          <w:ilvl w:val="0"/>
          <w:numId w:val="1"/>
        </w:numPr>
        <w:spacing w:after="60" w:line="245"/>
      </w:pPr>
      <w:r>
        <w:rPr>
          <w:rFonts w:ascii="Calibri" w:cs="Calibri" w:eastAsia="Calibri" w:hAnsi="Calibri"/>
          <w:sz w:val="17"/>
          <w:szCs w:val="17"/>
        </w:rPr>
        <w:t xml:space="preserve">ILS quote Q0023979: Safe NV1 single shelf. No custody or reconciliation procedure held  |  [11 Aug 2026] KBK MET SOP-0044 Pengiriman Bullion covers bullion custody, packing, documentation and handover. The safe storage and reconciliation half still has to be added.</w:t>
      </w:r>
    </w:p>
    <w:p>
      <w:pPr>
        <w:pStyle w:val="ListParagraph"/>
        <w:numPr>
          <w:ilvl w:val="0"/>
          <w:numId w:val="1"/>
        </w:numPr>
        <w:spacing w:after="60" w:line="245"/>
      </w:pPr>
      <w:r>
        <w:rPr>
          <w:rFonts w:ascii="Calibri" w:cs="Calibri" w:eastAsia="Calibri" w:hAnsi="Calibri"/>
          <w:sz w:val="17"/>
          <w:szCs w:val="17"/>
        </w:rPr>
        <w:t xml:space="preserve">Heritage register line JSEA-PRO-LAB-306-005, tab JSEA_LAB / SWI-LAB</w:t>
      </w:r>
    </w:p>
    <w:p>
      <w:pPr>
        <w:pStyle w:val="ListParagraph"/>
        <w:numPr>
          <w:ilvl w:val="0"/>
          <w:numId w:val="1"/>
        </w:numPr>
        <w:spacing w:after="60" w:line="245"/>
      </w:pPr>
      <w:r>
        <w:rPr>
          <w:rFonts w:ascii="Calibri" w:cs="Calibri" w:eastAsia="Calibri" w:hAnsi="Calibri"/>
          <w:sz w:val="17"/>
          <w:szCs w:val="17"/>
        </w:rPr>
        <w:t xml:space="preserve">No hot work procedure held for the bullion assay area</w:t>
      </w:r>
    </w:p>
    <w:p>
      <w:pPr>
        <w:pStyle w:val="ListParagraph"/>
        <w:numPr>
          <w:ilvl w:val="0"/>
          <w:numId w:val="1"/>
        </w:numPr>
        <w:spacing w:after="60" w:line="245"/>
      </w:pPr>
      <w:r>
        <w:rPr>
          <w:rFonts w:ascii="Calibri" w:cs="Calibri" w:eastAsia="Calibri" w:hAnsi="Calibri"/>
          <w:sz w:val="17"/>
          <w:szCs w:val="17"/>
        </w:rPr>
        <w:t xml:space="preserve">Heritage register line JSEA-PRO-LAB-306-006,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procedure and the documents beneath it are reviewed every 12 months, and immediately after any incident, plant change, equipment change or change to the schedule.</w:t>
      </w:r>
    </w:p>
    <w:p>
      <w:pPr>
        <w:pStyle w:val="Heading1"/>
        <w:spacing w:after="120" w:before="260"/>
      </w:pPr>
      <w:r>
        <w:rPr>
          <w:rFonts w:ascii="Calibri" w:cs="Calibri" w:eastAsia="Calibri" w:hAnsi="Calibri"/>
          <w:b/>
          <w:bCs/>
          <w:color w:val="1F3864"/>
          <w:sz w:val="24"/>
          <w:szCs w:val="24"/>
        </w:rPr>
        <w:t xml:space="preserve">11  REGISTER TRACEABILITY</w:t>
      </w:r>
    </w:p>
    <w:p>
      <w:pPr>
        <w:spacing w:after="60" w:before="0" w:line="245"/>
      </w:pPr>
      <w:r>
        <w:rPr>
          <w:rFonts w:ascii="Calibri" w:cs="Calibri" w:eastAsia="Calibri" w:hAnsi="Calibri"/>
          <w:sz w:val="17"/>
          <w:szCs w:val="17"/>
        </w:rPr>
        <w:t xml:space="preserve">The three-digit suffix is shared between the two registers, so SWI-PRO-LAB-306-011 is the work instruction for JSEA-PRO-LAB-306-011.</w:t>
      </w:r>
    </w:p>
    <w:p>
      <w:pPr>
        <w:spacing w:after="60" w:before="0" w:line="245"/>
      </w:pPr>
      <w:r>
        <w:rPr>
          <w:rFonts w:ascii="Calibri" w:cs="Calibri" w:eastAsia="Calibri" w:hAnsi="Calibri"/>
          <w:sz w:val="17"/>
          <w:szCs w:val="17"/>
        </w:rPr>
        <w:t xml:space="preserve">Registers: HM-MMM-WHS-REG-JSEA-PRO-updated_10.xlsx tab JSEA_LAB, and HM-MMM-WHS-REG-XXX-R00-SWI-SWMS.xlsx tab SWI-LAB. GGT working masters are MM-4034-033-OR-03-JSEA-Register-RevF.xlsx and MM-4034-033-OR-03-SWI-Register-RevF.xlsx.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Item</w:t>
            </w:r>
          </w:p>
        </w:tc>
        <w:tc>
          <w:tcPr>
            <w:tcW w:type="dxa" w:w="3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Count</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Register lines in area 306</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6</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Hazard analyses issued</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6</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Work instructions issued</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5</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Desk-based tasks with a JSEA but no work instruction</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Safety-critical</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6</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Issued but NOT FOR USE</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w:t>
            </w:r>
          </w:p>
        </w:tc>
      </w:tr>
    </w:tbl>
    <w:p>
      <w:pPr>
        <w:spacing w:after="60" w:before="0" w:line="245"/>
      </w:pP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HM-PRC-VXX-PRO217  ·  Bullion Assay and Custody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