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PROCEDURE</w:t>
      </w:r>
    </w:p>
    <w:p>
      <w:pPr>
        <w:pBdr>
          <w:bottom w:val="single" w:sz="8" w:space="4" w:color="1F3864"/>
        </w:pBdr>
        <w:spacing w:after="80" w:before="0" w:line="300"/>
      </w:pPr>
      <w:r>
        <w:rPr>
          <w:rFonts w:ascii="Calibri" w:cs="Calibri" w:eastAsia="Calibri" w:hAnsi="Calibri"/>
          <w:b/>
          <w:bCs/>
          <w:color w:val="1F3864"/>
          <w:sz w:val="32"/>
          <w:szCs w:val="32"/>
        </w:rPr>
        <w:t xml:space="preserve">Metallurgical Accounting and Reconciliation</w:t>
      </w:r>
    </w:p>
    <w:p>
      <w:pPr>
        <w:spacing w:after="140" w:before="0" w:line="245"/>
      </w:pPr>
      <w:r>
        <w:rPr>
          <w:rFonts w:ascii="Calibri" w:cs="Calibri" w:eastAsia="Calibri" w:hAnsi="Calibri"/>
          <w:color w:val="555555"/>
          <w:sz w:val="17"/>
          <w:szCs w:val="17"/>
        </w:rPr>
        <w:t xml:space="preserve">Standard Work Procedure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Title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Metallurgical Accounting and Reconciliation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Scope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Metallurgical accounting and reconciliation - daily and monthly mass balance, circuit inventory and lock-up, carbon and resin movement accounting, reagent consumption, bullion and concentrate reconciliation, and the investigation of a balance that does not close.</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 on tabs JSEA_MET and SWI-MET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Hazard analyses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12 (JSEA-PRO-MET-202-001 to -012)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instructions beneath</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procedure covers metallurgical accounting and reconciliation at the Mt. Morgan processing plant. It is the procedure that the 12 hazard analyses and 0 work instructions in register area 202 sit under.</w:t>
      </w:r>
    </w:p>
    <w:p>
      <w:pPr>
        <w:spacing w:after="60" w:before="0" w:line="245"/>
      </w:pPr>
      <w:r>
        <w:rPr>
          <w:rFonts w:ascii="Calibri" w:cs="Calibri" w:eastAsia="Calibri" w:hAnsi="Calibri"/>
          <w:sz w:val="17"/>
          <w:szCs w:val="17"/>
        </w:rPr>
        <w:t xml:space="preserve">Metallurgical accounting and reconciliation - daily and monthly mass balance, circuit inventory and lock-up, carbon and resin movement accounting, reagent consumption, bullion and concentrate reconciliation, and the investigation of a balance that does not close.</w:t>
      </w:r>
    </w:p>
    <w:p>
      <w:pPr>
        <w:pStyle w:val="Heading1"/>
        <w:spacing w:after="120" w:before="260"/>
      </w:pPr>
      <w:r>
        <w:rPr>
          <w:rFonts w:ascii="Calibri" w:cs="Calibri" w:eastAsia="Calibri" w:hAnsi="Calibri"/>
          <w:b/>
          <w:bCs/>
          <w:color w:val="1F3864"/>
          <w:sz w:val="24"/>
          <w:szCs w:val="24"/>
        </w:rPr>
        <w:t xml:space="preserve">2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 / Met Lab Technician</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Carry out the task to the schedule and to the work instruction.</w:t>
            </w:r>
          </w:p>
          <w:p>
            <w:pPr>
              <w:spacing w:after="30" w:line="235"/>
            </w:pPr>
            <w:r>
              <w:rPr>
                <w:rFonts w:ascii="Calibri" w:cs="Calibri" w:eastAsia="Calibri" w:hAnsi="Calibri"/>
                <w:sz w:val="16"/>
                <w:szCs w:val="16"/>
              </w:rPr>
              <w:t xml:space="preserve">Only carry out work where competent and authorised to do so.</w:t>
            </w:r>
          </w:p>
          <w:p>
            <w:pPr>
              <w:spacing w:after="30" w:line="235"/>
            </w:pPr>
            <w:r>
              <w:rPr>
                <w:rFonts w:ascii="Calibri" w:cs="Calibri" w:eastAsia="Calibri" w:hAnsi="Calibri"/>
                <w:sz w:val="16"/>
                <w:szCs w:val="16"/>
              </w:rPr>
              <w:t xml:space="preserve">Record what was actually done. Work not done is recorded as not done - never invented and never back-filled.</w:t>
            </w:r>
          </w:p>
          <w:p>
            <w:pPr>
              <w:spacing w:after="0" w:line="235"/>
            </w:pPr>
            <w:r>
              <w:rPr>
                <w:rFonts w:ascii="Calibri" w:cs="Calibri" w:eastAsia="Calibri" w:hAnsi="Calibri"/>
                <w:sz w:val="16"/>
                <w:szCs w:val="16"/>
              </w:rPr>
              <w:t xml:space="preserve">Stop and report if any control in the JSEA is not in place.</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Shift Supervisor / Coordinator</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Authorise the task and confirm the area is fit before it starts.</w:t>
            </w:r>
          </w:p>
          <w:p>
            <w:pPr>
              <w:spacing w:after="30" w:line="235"/>
            </w:pPr>
            <w:r>
              <w:rPr>
                <w:rFonts w:ascii="Calibri" w:cs="Calibri" w:eastAsia="Calibri" w:hAnsi="Calibri"/>
                <w:sz w:val="16"/>
                <w:szCs w:val="16"/>
              </w:rPr>
              <w:t xml:space="preserve">Know that the task is in progress and where the person is.</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0" w:line="235"/>
            </w:pPr>
            <w:r>
              <w:rPr>
                <w:rFonts w:ascii="Calibri" w:cs="Calibri" w:eastAsia="Calibri" w:hAnsi="Calibri"/>
                <w:sz w:val="16"/>
                <w:szCs w:val="16"/>
              </w:rPr>
              <w:t xml:space="preserve">Act on any off-specification result reported from the task.</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Metallurgist</w:t>
            </w:r>
          </w:p>
        </w:tc>
        <w:tc>
          <w:tcPr>
            <w:tcW w:type="dxa" w:w="6426"/>
            <w:tcMar>
              <w:top w:type="dxa" w:w="55"/>
              <w:left w:type="dxa" w:w="85"/>
              <w:bottom w:type="dxa" w:w="55"/>
              <w:right w:type="dxa" w:w="85"/>
            </w:tcMar>
          </w:tcPr>
          <w:p>
            <w:pPr>
              <w:spacing w:after="30" w:line="235"/>
            </w:pPr>
            <w:r>
              <w:rPr>
                <w:rFonts w:ascii="Calibri" w:cs="Calibri" w:eastAsia="Calibri" w:hAnsi="Calibri"/>
                <w:sz w:val="16"/>
                <w:szCs w:val="16"/>
              </w:rPr>
              <w:t xml:space="preserve">Set and maintain the schedule - what is done, how often, and what is reported.</w:t>
            </w:r>
          </w:p>
          <w:p>
            <w:pPr>
              <w:spacing w:after="30" w:line="235"/>
            </w:pPr>
            <w:r>
              <w:rPr>
                <w:rFonts w:ascii="Calibri" w:cs="Calibri" w:eastAsia="Calibri" w:hAnsi="Calibri"/>
                <w:sz w:val="16"/>
                <w:szCs w:val="16"/>
              </w:rPr>
              <w:t xml:space="preserve">Review the results and act on the trends.</w:t>
            </w:r>
          </w:p>
          <w:p>
            <w:pPr>
              <w:spacing w:after="0" w:line="235"/>
            </w:pPr>
            <w:r>
              <w:rPr>
                <w:rFonts w:ascii="Calibri" w:cs="Calibri" w:eastAsia="Calibri" w:hAnsi="Calibri"/>
                <w:sz w:val="16"/>
                <w:szCs w:val="16"/>
              </w:rPr>
              <w:t xml:space="preserve">Investigate any variance outside the agreed tolerance before a period is closed.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Process Manager / Superintendent</w:t>
            </w:r>
          </w:p>
        </w:tc>
        <w:tc>
          <w:tcPr>
            <w:tcW w:type="dxa" w:w="6426"/>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are trained and competent.</w:t>
            </w:r>
          </w:p>
          <w:p>
            <w:pPr>
              <w:spacing w:after="30" w:line="235"/>
            </w:pPr>
            <w:r>
              <w:rPr>
                <w:rFonts w:ascii="Calibri" w:cs="Calibri" w:eastAsia="Calibri" w:hAnsi="Calibri"/>
                <w:sz w:val="16"/>
                <w:szCs w:val="16"/>
              </w:rPr>
              <w:t xml:space="preserve">Ensure this procedure and the documents beneath it are reviewed at the stated interval.</w:t>
            </w:r>
          </w:p>
          <w:p>
            <w:pPr>
              <w:spacing w:after="0" w:line="235"/>
            </w:pPr>
            <w:r>
              <w:rPr>
                <w:rFonts w:ascii="Calibri" w:cs="Calibri" w:eastAsia="Calibri" w:hAnsi="Calibri"/>
                <w:sz w:val="16"/>
                <w:szCs w:val="16"/>
              </w:rPr>
              <w:t xml:space="preserve">Approve the risk ranking in the JSEAs.</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6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one per task, giving the step-by-step hazards, controls and risk ranking.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one per task, giving the step-by-step method.</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this document.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Steady state</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Normal operation held for at least 15 to 20 minutes.</w:t>
            </w:r>
          </w:p>
        </w:tc>
      </w:tr>
      <w:tr>
        <w:tc>
          <w:tcPr>
            <w:tcW w:type="dxa" w:w="22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6826"/>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in Areas 041, 051, 071 and 081.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CN Free / WAD CN</w:t>
            </w:r>
          </w:p>
        </w:tc>
        <w:tc>
          <w:tcPr>
            <w:tcW w:type="dxa" w:w="6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Free cyanide by silver nitrate titration; weak acid dissociable cyanide by distillation.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p>
      <w:pPr>
        <w:spacing w:after="60" w:before="0" w:line="245"/>
      </w:pPr>
      <w:r>
        <w:rPr>
          <w:rFonts w:ascii="Calibri" w:cs="Calibri" w:eastAsia="Calibri" w:hAnsi="Calibri"/>
          <w:sz w:val="17"/>
          <w:szCs w:val="17"/>
        </w:rPr>
        <w:t xml:space="preserve">The step-by-step hazard analysis for each task, with the risk ranking, is in the JSEA for that task. The hazards common across this area are:</w:t>
      </w:r>
    </w:p>
    <w:p>
      <w:pPr>
        <w:pStyle w:val="ListParagraph"/>
        <w:numPr>
          <w:ilvl w:val="0"/>
          <w:numId w:val="1"/>
        </w:numPr>
        <w:spacing w:after="60" w:line="245"/>
      </w:pPr>
      <w:r>
        <w:rPr>
          <w:rFonts w:ascii="Calibri" w:cs="Calibri" w:eastAsia="Calibri" w:hAnsi="Calibri"/>
          <w:sz w:val="17"/>
          <w:szCs w:val="17"/>
        </w:rPr>
        <w:t xml:space="preserve">An accounting or reconciliation error that hides a real metal loss</w:t>
      </w:r>
    </w:p>
    <w:p>
      <w:pPr>
        <w:pStyle w:val="ListParagraph"/>
        <w:numPr>
          <w:ilvl w:val="0"/>
          <w:numId w:val="1"/>
        </w:numPr>
        <w:spacing w:after="60" w:line="245"/>
      </w:pPr>
      <w:r>
        <w:rPr>
          <w:rFonts w:ascii="Calibri" w:cs="Calibri" w:eastAsia="Calibri" w:hAnsi="Calibri"/>
          <w:sz w:val="17"/>
          <w:szCs w:val="17"/>
        </w:rPr>
        <w:t xml:space="preserve">Non-representative sample leading to a wrong process decision</w:t>
      </w:r>
    </w:p>
    <w:p>
      <w:pPr>
        <w:pStyle w:val="ListParagraph"/>
        <w:numPr>
          <w:ilvl w:val="0"/>
          <w:numId w:val="1"/>
        </w:numPr>
        <w:spacing w:after="60" w:line="245"/>
      </w:pPr>
      <w:r>
        <w:rPr>
          <w:rFonts w:ascii="Calibri" w:cs="Calibri" w:eastAsia="Calibri" w:hAnsi="Calibri"/>
          <w:sz w:val="17"/>
          <w:szCs w:val="17"/>
        </w:rPr>
        <w:t xml:space="preserve">Exposure to a gold security incident, and to suspicion in one</w:t>
      </w:r>
    </w:p>
    <w:p>
      <w:pPr>
        <w:pStyle w:val="ListParagraph"/>
        <w:numPr>
          <w:ilvl w:val="0"/>
          <w:numId w:val="1"/>
        </w:numPr>
        <w:spacing w:after="60" w:line="245"/>
      </w:pPr>
      <w:r>
        <w:rPr>
          <w:rFonts w:ascii="Calibri" w:cs="Calibri" w:eastAsia="Calibri" w:hAnsi="Calibri"/>
          <w:sz w:val="17"/>
          <w:szCs w:val="17"/>
        </w:rPr>
        <w:t xml:space="preserve">Mercury vapour in the gold room, elution and retort areas</w:t>
      </w:r>
    </w:p>
    <w:p>
      <w:pPr>
        <w:pStyle w:val="ListParagraph"/>
        <w:numPr>
          <w:ilvl w:val="0"/>
          <w:numId w:val="1"/>
        </w:numPr>
        <w:spacing w:after="60" w:line="245"/>
      </w:pPr>
      <w:r>
        <w:rPr>
          <w:rFonts w:ascii="Calibri" w:cs="Calibri" w:eastAsia="Calibri" w:hAnsi="Calibri"/>
          <w:sz w:val="17"/>
          <w:szCs w:val="17"/>
        </w:rPr>
        <w:t xml:space="preserve">Hydrogen cyanide gas released at the open sample point</w:t>
      </w:r>
    </w:p>
    <w:p>
      <w:pPr>
        <w:pStyle w:val="ListParagraph"/>
        <w:numPr>
          <w:ilvl w:val="0"/>
          <w:numId w:val="1"/>
        </w:numPr>
        <w:spacing w:after="60" w:line="245"/>
      </w:pPr>
      <w:r>
        <w:rPr>
          <w:rFonts w:ascii="Calibri" w:cs="Calibri" w:eastAsia="Calibri" w:hAnsi="Calibri"/>
          <w:sz w:val="17"/>
          <w:szCs w:val="17"/>
        </w:rPr>
        <w:t xml:space="preserve">Fall from a tank top, launder platform, column platform or access ladder</w:t>
      </w:r>
    </w:p>
    <w:p>
      <w:pPr>
        <w:pStyle w:val="ListParagraph"/>
        <w:numPr>
          <w:ilvl w:val="0"/>
          <w:numId w:val="1"/>
        </w:numPr>
        <w:spacing w:after="60" w:line="245"/>
      </w:pPr>
      <w:r>
        <w:rPr>
          <w:rFonts w:ascii="Calibri" w:cs="Calibri" w:eastAsia="Calibri" w:hAnsi="Calibri"/>
          <w:sz w:val="17"/>
          <w:szCs w:val="17"/>
        </w:rPr>
        <w:t xml:space="preserve">Manual handling injury from carrying sample buckets, containers and composite drums</w:t>
      </w:r>
    </w:p>
    <w:p>
      <w:pPr>
        <w:pStyle w:val="ListParagraph"/>
        <w:numPr>
          <w:ilvl w:val="0"/>
          <w:numId w:val="1"/>
        </w:numPr>
        <w:spacing w:after="60" w:line="245"/>
      </w:pPr>
      <w:r>
        <w:rPr>
          <w:rFonts w:ascii="Calibri" w:cs="Calibri" w:eastAsia="Calibri" w:hAnsi="Calibri"/>
          <w:sz w:val="17"/>
          <w:szCs w:val="17"/>
        </w:rPr>
        <w:t xml:space="preserve">Cross-contamination from a container or cutter not cleaned between points</w:t>
      </w: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hard hat, safety glasses, high-visibility long-sleeved shirt and long trousers, safety boots, and gloves appropriate to the task.</w:t>
      </w:r>
    </w:p>
    <w:p>
      <w:pPr>
        <w:spacing w:after="60" w:before="0" w:line="245"/>
      </w:pPr>
      <w:r>
        <w:rPr>
          <w:rFonts w:ascii="Calibri" w:cs="Calibri" w:eastAsia="Calibri" w:hAnsi="Calibri"/>
          <w:sz w:val="17"/>
          <w:szCs w:val="17"/>
        </w:rPr>
        <w:t xml:space="preserve">The following is added where the task requires it:</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90" w:before="180" w:line="245"/>
        <w:keepNext/>
      </w:pPr>
      <w:r>
        <w:rPr>
          <w:rFonts w:ascii="Calibri" w:cs="Calibri" w:eastAsia="Calibri" w:hAnsi="Calibri"/>
          <w:b/>
          <w:bCs/>
          <w:color w:val="1F3864"/>
          <w:sz w:val="19"/>
          <w:szCs w:val="19"/>
        </w:rPr>
        <w:t xml:space="preserve">6.2  Procedure and implementation steps</w:t>
      </w:r>
    </w:p>
    <w:p>
      <w:pPr>
        <w:spacing w:after="60" w:before="0" w:line="245"/>
      </w:pPr>
      <w:r>
        <w:rPr>
          <w:rFonts w:ascii="Calibri" w:cs="Calibri" w:eastAsia="Calibri" w:hAnsi="Calibri"/>
          <w:sz w:val="17"/>
          <w:szCs w:val="17"/>
        </w:rPr>
        <w:t xml:space="preserve">The documents below are the controlled method for each task. This procedure does not repeat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850"/>
        <w:gridCol w:w="4026"/>
        <w:gridCol w:w="1300"/>
      </w:tblGrid>
      <w:tr>
        <w:trPr>
          <w:tblHeader/>
        </w:trPr>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JSEA</w:t>
            </w:r>
          </w:p>
        </w:tc>
        <w:tc>
          <w:tcPr>
            <w:tcW w:type="dxa" w:w="185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Work instruction</w:t>
            </w:r>
          </w:p>
        </w:tc>
        <w:tc>
          <w:tcPr>
            <w:tcW w:type="dxa" w:w="40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13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Class</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JSEA-PRO-MET-202-001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Daily Metallurgical Accounting and Plant Mass Balance</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JSEA-PRO-MET-202-002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Shift and Daily Production Data Entry and Validation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JSEA-PRO-MET-202-003</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Monthly Metal Accounting and Reconciliation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JSEA-PRO-MET-202-004</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Gold and Silver Circuit Inventory and Lock-Up Reconciliation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JSEA-PRO-MET-202-005</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Carbon Inventory and Carbon Movement Accounting</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JSEA-PRO-MET-202-006</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Resin Inventory and Resin Movement Accounting</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JSEA-PRO-MET-202-007</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Reagent Consumption Tracking and Reconciliation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JSEA-PRO-MET-202-008</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Bullion Reconciliation Against Refinery Outturn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Safety-critical</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JSEA-PRO-MET-202-009</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Copper Concentrate Lot Accounting and Dispatch Reconciliation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JSEA-PRO-MET-202-010</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Dispatch, Umpire Assay and External Laboratory Reconciliation</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JSEA-PRO-MET-202-011</w:t>
            </w:r>
          </w:p>
        </w:tc>
        <w:tc>
          <w:tcPr>
            <w:tcW w:type="dxa" w:w="1850"/>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tcMar>
              <w:top w:type="dxa" w:w="55"/>
              <w:left w:type="dxa" w:w="85"/>
              <w:bottom w:type="dxa" w:w="55"/>
              <w:right w:type="dxa" w:w="85"/>
            </w:tcMar>
          </w:tcPr>
          <w:p>
            <w:pPr>
              <w:spacing w:after="0" w:line="235"/>
            </w:pPr>
            <w:r>
              <w:rPr>
                <w:rFonts w:ascii="Calibri" w:cs="Calibri" w:eastAsia="Calibri" w:hAnsi="Calibri"/>
                <w:sz w:val="15"/>
                <w:szCs w:val="15"/>
              </w:rPr>
              <w:t xml:space="preserve">Metallurgical Report Preparation and Distribution</w:t>
            </w:r>
          </w:p>
        </w:tc>
        <w:tc>
          <w:tcPr>
            <w:tcW w:type="dxa" w:w="1300"/>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r>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JSEA-PRO-MET-202-012</w:t>
            </w:r>
          </w:p>
        </w:tc>
        <w:tc>
          <w:tcPr>
            <w:tcW w:type="dxa" w:w="185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t>
            </w:r>
          </w:p>
        </w:tc>
        <w:tc>
          <w:tcPr>
            <w:tcW w:type="dxa" w:w="40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Investigation and Correction of Mass Balance Discrepancy</w:t>
            </w:r>
          </w:p>
        </w:tc>
        <w:tc>
          <w:tcPr>
            <w:tcW w:type="dxa" w:w="13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Operating</w:t>
            </w:r>
          </w:p>
        </w:tc>
      </w:tr>
    </w:tbl>
    <w:p>
      <w:pPr>
        <w:spacing w:after="60" w:before="0" w:line="245"/>
      </w:pPr>
    </w:p>
    <w:p>
      <w:pPr>
        <w:spacing w:after="90" w:before="180" w:line="245"/>
        <w:keepNext/>
      </w:pPr>
      <w:r>
        <w:rPr>
          <w:rFonts w:ascii="Calibri" w:cs="Calibri" w:eastAsia="Calibri" w:hAnsi="Calibri"/>
          <w:b/>
          <w:bCs/>
          <w:color w:val="1F3864"/>
          <w:sz w:val="19"/>
          <w:szCs w:val="19"/>
        </w:rPr>
        <w:t xml:space="preserve">6.3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Task</w:t>
            </w:r>
          </w:p>
        </w:tc>
        <w:tc>
          <w:tcPr>
            <w:tcW w:type="dxa" w:w="4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Frequency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202-001  Daily Metallurgical Accounting and Plant Mass Balance</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Daily, closed before the morning production meeting.</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202-002  Shift and Daily Production Data Entry and Validation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shift, at handover.</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202-003  Monthly Metal Accounting and Reconciliation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Monthly, within the agreed reporting deadline.</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202-004  Gold and Silver Circuit Inventory and Lock-Up Reconciliation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Monthly at the close, and after any circuit shutdown or major upset.</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202-005  Carbon Inventory and Carbon Movement Accounting</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carbon movement, reconciled monthly.</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202-006  Resin Inventory and Resin Movement Accounting</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resin transfer, reconciled monthly.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202-007  Reagent Consumption Tracking and Reconciliation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Daily entry, reconciled monthly against deliveries and stock.</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202-008  Bullion Reconciliation Against Refinery Outturn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dispatch, reconciled at the monthly close.</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202-009  Copper Concentrate Lot Accounting and Dispatch Reconciliation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Every lot.</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202-010  Sample Dispatch, Umpire Assay and External Laboratory Reconciliation</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dispatch; reconciliation monthly.</w:t>
            </w:r>
          </w:p>
        </w:tc>
      </w:tr>
      <w:tr>
        <w:tc>
          <w:tcPr>
            <w:tcW w:type="dxa" w:w="4600"/>
            <w:tcMar>
              <w:top w:type="dxa" w:w="55"/>
              <w:left w:type="dxa" w:w="85"/>
              <w:bottom w:type="dxa" w:w="55"/>
              <w:right w:type="dxa" w:w="85"/>
            </w:tcMar>
          </w:tcPr>
          <w:p>
            <w:pPr>
              <w:spacing w:after="0" w:line="235"/>
            </w:pPr>
            <w:r>
              <w:rPr>
                <w:rFonts w:ascii="Calibri" w:cs="Calibri" w:eastAsia="Calibri" w:hAnsi="Calibri"/>
                <w:sz w:val="15"/>
                <w:szCs w:val="15"/>
              </w:rPr>
              <w:t xml:space="preserve">202-011  Metallurgical Report Preparation and Distribution</w:t>
            </w:r>
          </w:p>
        </w:tc>
        <w:tc>
          <w:tcPr>
            <w:tcW w:type="dxa" w:w="4426"/>
            <w:tcMar>
              <w:top w:type="dxa" w:w="55"/>
              <w:left w:type="dxa" w:w="85"/>
              <w:bottom w:type="dxa" w:w="55"/>
              <w:right w:type="dxa" w:w="85"/>
            </w:tcMar>
          </w:tcPr>
          <w:p>
            <w:pPr>
              <w:spacing w:after="0" w:line="235"/>
            </w:pPr>
            <w:r>
              <w:rPr>
                <w:rFonts w:ascii="Calibri" w:cs="Calibri" w:eastAsia="Calibri" w:hAnsi="Calibri"/>
                <w:sz w:val="15"/>
                <w:szCs w:val="15"/>
              </w:rPr>
              <w:t xml:space="preserve">Daily, weekly and monthly per the reporting calendar.</w:t>
            </w:r>
          </w:p>
        </w:tc>
      </w:tr>
      <w:tr>
        <w:tc>
          <w:tcPr>
            <w:tcW w:type="dxa" w:w="46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202-012  Investigation and Correction of Mass Balance Discrepancy</w:t>
            </w:r>
          </w:p>
        </w:tc>
        <w:tc>
          <w:tcPr>
            <w:tcW w:type="dxa" w:w="4426"/>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Whenever a balance falls outside the agreed tolerance.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here. Each work instruction carries its own step sequence in Section 6.</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a task in this area is trained and signed off against the work instruction for that task, and has signed on to the matching JSEA at a communication session.</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instruments and calculations used in the task.</w:t>
      </w:r>
    </w:p>
    <w:p>
      <w:pPr>
        <w:pStyle w:val="ListParagraph"/>
        <w:numPr>
          <w:ilvl w:val="0"/>
          <w:numId w:val="1"/>
        </w:numPr>
        <w:spacing w:after="60" w:line="245"/>
      </w:pPr>
      <w:r>
        <w:rPr>
          <w:rFonts w:ascii="Calibri" w:cs="Calibri" w:eastAsia="Calibri" w:hAnsi="Calibri"/>
          <w:sz w:val="17"/>
          <w:szCs w:val="17"/>
        </w:rPr>
        <w:t xml:space="preserve">Refresher at the interval set by the site training matrix, and after any change to the instruction.</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 against the plant configuration.</w:t>
      </w:r>
    </w:p>
    <w:p>
      <w:pPr>
        <w:pStyle w:val="ListParagraph"/>
        <w:numPr>
          <w:ilvl w:val="0"/>
          <w:numId w:val="1"/>
        </w:numPr>
        <w:spacing w:after="60" w:line="245"/>
      </w:pPr>
      <w:r>
        <w:rPr>
          <w:rFonts w:ascii="Calibri" w:cs="Calibri" w:eastAsia="Calibri" w:hAnsi="Calibri"/>
          <w:sz w:val="17"/>
          <w:szCs w:val="17"/>
        </w:rPr>
        <w:t xml:space="preserve">MM-4034-033-P-09 Tag Register (942 tags) and the mechanical equipment list</w:t>
      </w:r>
    </w:p>
    <w:p>
      <w:pPr>
        <w:pStyle w:val="ListParagraph"/>
        <w:numPr>
          <w:ilvl w:val="0"/>
          <w:numId w:val="1"/>
        </w:numPr>
        <w:spacing w:after="60" w:line="245"/>
      </w:pPr>
      <w:r>
        <w:rPr>
          <w:rFonts w:ascii="Calibri" w:cs="Calibri" w:eastAsia="Calibri" w:hAnsi="Calibri"/>
          <w:sz w:val="17"/>
          <w:szCs w:val="17"/>
        </w:rPr>
        <w:t xml:space="preserve">4034-PR-PRO-002 Sampling Protocol - the sample points the balance is built on</w:t>
      </w:r>
    </w:p>
    <w:p>
      <w:pPr>
        <w:pStyle w:val="ListParagraph"/>
        <w:numPr>
          <w:ilvl w:val="0"/>
          <w:numId w:val="1"/>
        </w:numPr>
        <w:spacing w:after="60" w:line="245"/>
      </w:pPr>
      <w:r>
        <w:rPr>
          <w:rFonts w:ascii="Calibri" w:cs="Calibri" w:eastAsia="Calibri" w:hAnsi="Calibri"/>
          <w:sz w:val="17"/>
          <w:szCs w:val="17"/>
        </w:rPr>
        <w:t xml:space="preserve">[LIVE] SOP-Mt.Morgan-Data Entry-xxx.docx and its change form template</w:t>
      </w:r>
    </w:p>
    <w:p>
      <w:pPr>
        <w:pStyle w:val="ListParagraph"/>
        <w:numPr>
          <w:ilvl w:val="0"/>
          <w:numId w:val="1"/>
        </w:numPr>
        <w:spacing w:after="60" w:line="245"/>
      </w:pPr>
      <w:r>
        <w:rPr>
          <w:rFonts w:ascii="Calibri" w:cs="Calibri" w:eastAsia="Calibri" w:hAnsi="Calibri"/>
          <w:sz w:val="17"/>
          <w:szCs w:val="17"/>
        </w:rPr>
        <w:t xml:space="preserve">Mt. Morgan Changeform Template</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w:t>
      </w:r>
    </w:p>
    <w:p>
      <w:pPr>
        <w:pStyle w:val="ListParagraph"/>
        <w:numPr>
          <w:ilvl w:val="0"/>
          <w:numId w:val="1"/>
        </w:numPr>
        <w:spacing w:after="60" w:line="245"/>
      </w:pPr>
      <w:r>
        <w:rPr>
          <w:rFonts w:ascii="Calibri" w:cs="Calibri" w:eastAsia="Calibri" w:hAnsi="Calibri"/>
          <w:sz w:val="17"/>
          <w:szCs w:val="17"/>
        </w:rPr>
        <w:t xml:space="preserve">RA-01 Resin Loss Register and RA-02 Carbon Contamination Register, both Rev A</w:t>
      </w:r>
    </w:p>
    <w:p>
      <w:pPr>
        <w:pStyle w:val="ListParagraph"/>
        <w:numPr>
          <w:ilvl w:val="0"/>
          <w:numId w:val="1"/>
        </w:numPr>
        <w:spacing w:after="60" w:line="245"/>
      </w:pPr>
      <w:r>
        <w:rPr>
          <w:rFonts w:ascii="Calibri" w:cs="Calibri" w:eastAsia="Calibri" w:hAnsi="Calibri"/>
          <w:sz w:val="17"/>
          <w:szCs w:val="17"/>
        </w:rPr>
        <w:t xml:space="preserve">Mechanical equipment list - vessel volumes</w:t>
      </w:r>
    </w:p>
    <w:p>
      <w:pPr>
        <w:pStyle w:val="ListParagraph"/>
        <w:numPr>
          <w:ilvl w:val="0"/>
          <w:numId w:val="1"/>
        </w:numPr>
        <w:spacing w:after="60" w:line="245"/>
      </w:pPr>
      <w:r>
        <w:rPr>
          <w:rFonts w:ascii="Calibri" w:cs="Calibri" w:eastAsia="Calibri" w:hAnsi="Calibri"/>
          <w:sz w:val="17"/>
          <w:szCs w:val="17"/>
        </w:rPr>
        <w:t xml:space="preserve">MM-4034-033-RES Resin Line Schedule (268 lines)</w:t>
      </w:r>
    </w:p>
    <w:p>
      <w:pPr>
        <w:pStyle w:val="ListParagraph"/>
        <w:numPr>
          <w:ilvl w:val="0"/>
          <w:numId w:val="1"/>
        </w:numPr>
        <w:spacing w:after="60" w:line="245"/>
      </w:pPr>
      <w:r>
        <w:rPr>
          <w:rFonts w:ascii="Calibri" w:cs="Calibri" w:eastAsia="Calibri" w:hAnsi="Calibri"/>
          <w:sz w:val="17"/>
          <w:szCs w:val="17"/>
        </w:rPr>
        <w:t xml:space="preserve">KBK-MIR-MP-PRO-MET-SOP-0044 Pengiriman Bullion, received 11 Aug 2026</w:t>
      </w:r>
    </w:p>
    <w:p>
      <w:pPr>
        <w:pStyle w:val="ListParagraph"/>
        <w:numPr>
          <w:ilvl w:val="0"/>
          <w:numId w:val="1"/>
        </w:numPr>
        <w:spacing w:after="60" w:line="245"/>
      </w:pPr>
      <w:r>
        <w:rPr>
          <w:rFonts w:ascii="Calibri" w:cs="Calibri" w:eastAsia="Calibri" w:hAnsi="Calibri"/>
          <w:sz w:val="17"/>
          <w:szCs w:val="17"/>
        </w:rPr>
        <w:t xml:space="preserve">RA-02 Carbon Contamination Register Rev A and its study report</w:t>
      </w:r>
    </w:p>
    <w:p>
      <w:pPr>
        <w:pStyle w:val="ListParagraph"/>
        <w:numPr>
          <w:ilvl w:val="0"/>
          <w:numId w:val="1"/>
        </w:numPr>
        <w:spacing w:after="60" w:line="245"/>
      </w:pPr>
      <w:r>
        <w:rPr>
          <w:rFonts w:ascii="Calibri" w:cs="Calibri" w:eastAsia="Calibri" w:hAnsi="Calibri"/>
          <w:sz w:val="17"/>
          <w:szCs w:val="17"/>
        </w:rPr>
        <w:t xml:space="preserve">Mechanical equipment list</w:t>
      </w:r>
    </w:p>
    <w:p>
      <w:pPr>
        <w:pStyle w:val="ListParagraph"/>
        <w:numPr>
          <w:ilvl w:val="0"/>
          <w:numId w:val="1"/>
        </w:numPr>
        <w:spacing w:after="60" w:line="245"/>
      </w:pPr>
      <w:r>
        <w:rPr>
          <w:rFonts w:ascii="Calibri" w:cs="Calibri" w:eastAsia="Calibri" w:hAnsi="Calibri"/>
          <w:sz w:val="17"/>
          <w:szCs w:val="17"/>
        </w:rPr>
        <w:t xml:space="preserve">KBK-MIR-MP-PRO-OPE-SOP-0013 Particle Size Distribution of Activated Carbon</w:t>
      </w:r>
    </w:p>
    <w:p>
      <w:pPr>
        <w:pStyle w:val="ListParagraph"/>
        <w:numPr>
          <w:ilvl w:val="0"/>
          <w:numId w:val="1"/>
        </w:numPr>
        <w:spacing w:after="60" w:line="245"/>
      </w:pPr>
      <w:r>
        <w:rPr>
          <w:rFonts w:ascii="Calibri" w:cs="Calibri" w:eastAsia="Calibri" w:hAnsi="Calibri"/>
          <w:sz w:val="17"/>
          <w:szCs w:val="17"/>
        </w:rPr>
        <w:t xml:space="preserve">RA-01 Resin Loss Register Rev A and its study report</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and KBK SOP-PROC-CNREC-12 Fresh resin conditioning, both received 11 Aug 2026</w:t>
      </w:r>
    </w:p>
    <w:p>
      <w:pPr>
        <w:pStyle w:val="ListParagraph"/>
        <w:numPr>
          <w:ilvl w:val="0"/>
          <w:numId w:val="1"/>
        </w:numPr>
        <w:spacing w:after="60" w:line="245"/>
      </w:pPr>
      <w:r>
        <w:rPr>
          <w:rFonts w:ascii="Calibri" w:cs="Calibri" w:eastAsia="Calibri" w:hAnsi="Calibri"/>
          <w:sz w:val="17"/>
          <w:szCs w:val="17"/>
        </w:rPr>
        <w:t xml:space="preserve">HM-PP-006A Reagent First Fill and HM-PP-006B Reagents Consumption 2026</w:t>
      </w:r>
    </w:p>
    <w:p>
      <w:pPr>
        <w:pStyle w:val="ListParagraph"/>
        <w:numPr>
          <w:ilvl w:val="0"/>
          <w:numId w:val="1"/>
        </w:numPr>
        <w:spacing w:after="60" w:line="245"/>
      </w:pPr>
      <w:r>
        <w:rPr>
          <w:rFonts w:ascii="Calibri" w:cs="Calibri" w:eastAsia="Calibri" w:hAnsi="Calibri"/>
          <w:sz w:val="17"/>
          <w:szCs w:val="17"/>
        </w:rPr>
        <w:t xml:space="preserve">Mt. Morgan Reagent Consumption and Pricing folder, including the pricing reference set</w:t>
      </w:r>
    </w:p>
    <w:p>
      <w:pPr>
        <w:pStyle w:val="ListParagraph"/>
        <w:numPr>
          <w:ilvl w:val="0"/>
          <w:numId w:val="1"/>
        </w:numPr>
        <w:spacing w:after="60" w:line="245"/>
      </w:pPr>
      <w:r>
        <w:rPr>
          <w:rFonts w:ascii="Calibri" w:cs="Calibri" w:eastAsia="Calibri" w:hAnsi="Calibri"/>
          <w:sz w:val="17"/>
          <w:szCs w:val="17"/>
        </w:rPr>
        <w:t xml:space="preserve">HM-PRC-V01-PRO021 to PRO027 reagent procedures</w:t>
      </w:r>
    </w:p>
    <w:p>
      <w:pPr>
        <w:pStyle w:val="ListParagraph"/>
        <w:numPr>
          <w:ilvl w:val="0"/>
          <w:numId w:val="1"/>
        </w:numPr>
        <w:spacing w:after="60" w:line="245"/>
      </w:pPr>
      <w:r>
        <w:rPr>
          <w:rFonts w:ascii="Calibri" w:cs="Calibri" w:eastAsia="Calibri" w:hAnsi="Calibri"/>
          <w:sz w:val="17"/>
          <w:szCs w:val="17"/>
        </w:rPr>
        <w:t xml:space="preserve">KBK-MIR-MP-PRO-MET-SOP-0044 Pengiriman Bullion, received 11 Aug 2026 - covers dispatch, weighing, packing, documentation and handover</w:t>
      </w:r>
    </w:p>
    <w:p>
      <w:pPr>
        <w:pStyle w:val="ListParagraph"/>
        <w:numPr>
          <w:ilvl w:val="0"/>
          <w:numId w:val="1"/>
        </w:numPr>
        <w:spacing w:after="60" w:line="245"/>
      </w:pPr>
      <w:r>
        <w:rPr>
          <w:rFonts w:ascii="Calibri" w:cs="Calibri" w:eastAsia="Calibri" w:hAnsi="Calibri"/>
          <w:sz w:val="17"/>
          <w:szCs w:val="17"/>
        </w:rPr>
        <w:t xml:space="preserve">No source held for the outturn reconciliation half of this task</w:t>
      </w:r>
    </w:p>
    <w:p>
      <w:pPr>
        <w:pStyle w:val="ListParagraph"/>
        <w:numPr>
          <w:ilvl w:val="0"/>
          <w:numId w:val="1"/>
        </w:numPr>
        <w:spacing w:after="60" w:line="245"/>
      </w:pPr>
      <w:r>
        <w:rPr>
          <w:rFonts w:ascii="Calibri" w:cs="Calibri" w:eastAsia="Calibri" w:hAnsi="Calibri"/>
          <w:sz w:val="17"/>
          <w:szCs w:val="17"/>
        </w:rPr>
        <w:t xml:space="preserve">No source held. HM_PP_009 Product Quality Management System folder arrived empty.</w:t>
      </w:r>
    </w:p>
    <w:p>
      <w:pPr>
        <w:pStyle w:val="ListParagraph"/>
        <w:numPr>
          <w:ilvl w:val="0"/>
          <w:numId w:val="1"/>
        </w:numPr>
        <w:spacing w:after="60" w:line="245"/>
      </w:pPr>
      <w:r>
        <w:rPr>
          <w:rFonts w:ascii="Calibri" w:cs="Calibri" w:eastAsia="Calibri" w:hAnsi="Calibri"/>
          <w:sz w:val="17"/>
          <w:szCs w:val="17"/>
        </w:rPr>
        <w:t xml:space="preserve">KBK-MIR-LAB-PRE-SOP-009 Pengiriman Sampel ke laboratorium eksternal</w:t>
      </w:r>
    </w:p>
    <w:p>
      <w:pPr>
        <w:pStyle w:val="ListParagraph"/>
        <w:numPr>
          <w:ilvl w:val="0"/>
          <w:numId w:val="1"/>
        </w:numPr>
        <w:spacing w:after="60" w:line="245"/>
      </w:pPr>
      <w:r>
        <w:rPr>
          <w:rFonts w:ascii="Calibri" w:cs="Calibri" w:eastAsia="Calibri" w:hAnsi="Calibri"/>
          <w:sz w:val="17"/>
          <w:szCs w:val="17"/>
        </w:rPr>
        <w:t xml:space="preserve">4034-PR-PRO-002 Sampling Protocol</w:t>
      </w:r>
    </w:p>
    <w:p>
      <w:pPr>
        <w:pStyle w:val="ListParagraph"/>
        <w:numPr>
          <w:ilvl w:val="0"/>
          <w:numId w:val="1"/>
        </w:numPr>
        <w:spacing w:after="60" w:line="245"/>
      </w:pPr>
      <w:r>
        <w:rPr>
          <w:rFonts w:ascii="Calibri" w:cs="Calibri" w:eastAsia="Calibri" w:hAnsi="Calibri"/>
          <w:sz w:val="17"/>
          <w:szCs w:val="17"/>
        </w:rPr>
        <w:t xml:space="preserve">RA-01 Resin Loss Register and RA-02 Carbon Contamination Register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procedure and the documents beneath it are reviewed every 12 months, and immediately after any incident, plant change, equipment change or change to the schedule.</w:t>
      </w:r>
    </w:p>
    <w:p>
      <w:pPr>
        <w:pStyle w:val="Heading1"/>
        <w:spacing w:after="120" w:before="260"/>
      </w:pPr>
      <w:r>
        <w:rPr>
          <w:rFonts w:ascii="Calibri" w:cs="Calibri" w:eastAsia="Calibri" w:hAnsi="Calibri"/>
          <w:b/>
          <w:bCs/>
          <w:color w:val="1F3864"/>
          <w:sz w:val="24"/>
          <w:szCs w:val="24"/>
        </w:rPr>
        <w:t xml:space="preserve">11  REGISTER TRACEABILITY</w:t>
      </w:r>
    </w:p>
    <w:p>
      <w:pPr>
        <w:spacing w:after="60" w:before="0" w:line="245"/>
      </w:pPr>
      <w:r>
        <w:rPr>
          <w:rFonts w:ascii="Calibri" w:cs="Calibri" w:eastAsia="Calibri" w:hAnsi="Calibri"/>
          <w:sz w:val="17"/>
          <w:szCs w:val="17"/>
        </w:rPr>
        <w:t xml:space="preserve">The three-digit suffix is shared between the two registers, so SWI-PRO-MET-202-011 is the work instruction for JSEA-PRO-MET-202-011.</w:t>
      </w:r>
    </w:p>
    <w:p>
      <w:pPr>
        <w:spacing w:after="60" w:before="0" w:line="245"/>
      </w:pPr>
      <w:r>
        <w:rPr>
          <w:rFonts w:ascii="Calibri" w:cs="Calibri" w:eastAsia="Calibri" w:hAnsi="Calibri"/>
          <w:sz w:val="17"/>
          <w:szCs w:val="17"/>
        </w:rPr>
        <w:t xml:space="preserve">Registers: HM-MMM-WHS-REG-JSEA-PRO-updated_10.xlsx tab JSEA_MET, and HM-MMM-WHS-REG-XXX-R00-SWI-SWMS.xlsx tab SWI-MET. GGT working masters are MM-4034-033-OR-03-JSEA-Register-RevE.xlsx and MM-4034-033-OR-03-SWI-Register-RevE.xlsx.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Item</w:t>
            </w:r>
          </w:p>
        </w:tc>
        <w:tc>
          <w:tcPr>
            <w:tcW w:type="dxa" w:w="38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Count</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Register lines in area 202</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Hazard analyses issued</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Work instructions issued</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0</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Desk-based tasks with a JSEA but no work instruction</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12</w:t>
            </w:r>
          </w:p>
        </w:tc>
      </w:tr>
      <w:tr>
        <w:tc>
          <w:tcPr>
            <w:tcW w:type="dxa" w:w="5200"/>
            <w:tcMar>
              <w:top w:type="dxa" w:w="55"/>
              <w:left w:type="dxa" w:w="85"/>
              <w:bottom w:type="dxa" w:w="55"/>
              <w:right w:type="dxa" w:w="85"/>
            </w:tcMar>
          </w:tcPr>
          <w:p>
            <w:pPr>
              <w:spacing w:after="0" w:line="235"/>
            </w:pPr>
            <w:r>
              <w:rPr>
                <w:rFonts w:ascii="Calibri" w:cs="Calibri" w:eastAsia="Calibri" w:hAnsi="Calibri"/>
                <w:sz w:val="16"/>
                <w:szCs w:val="16"/>
              </w:rPr>
              <w:t xml:space="preserve">Safety-critical</w:t>
            </w:r>
          </w:p>
        </w:tc>
        <w:tc>
          <w:tcPr>
            <w:tcW w:type="dxa" w:w="3826"/>
            <w:tcMar>
              <w:top w:type="dxa" w:w="55"/>
              <w:left w:type="dxa" w:w="85"/>
              <w:bottom w:type="dxa" w:w="55"/>
              <w:right w:type="dxa" w:w="85"/>
            </w:tcMar>
          </w:tcPr>
          <w:p>
            <w:pPr>
              <w:spacing w:after="0" w:line="235"/>
            </w:pPr>
            <w:r>
              <w:rPr>
                <w:rFonts w:ascii="Calibri" w:cs="Calibri" w:eastAsia="Calibri" w:hAnsi="Calibri"/>
                <w:sz w:val="16"/>
                <w:szCs w:val="16"/>
              </w:rPr>
              <w:t xml:space="preserve">2</w:t>
            </w:r>
          </w:p>
        </w:tc>
      </w:tr>
      <w:tr>
        <w:tc>
          <w:tcPr>
            <w:tcW w:type="dxa" w:w="5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Issued but NOT FOR USE</w:t>
            </w:r>
          </w:p>
        </w:tc>
        <w:tc>
          <w:tcPr>
            <w:tcW w:type="dxa" w:w="38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w:t>
            </w:r>
          </w:p>
        </w:tc>
      </w:tr>
    </w:tbl>
    <w:p>
      <w:pPr>
        <w:spacing w:after="60" w:before="0" w:line="245"/>
      </w:pP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HM-PRC-VXX-PRO206  ·  Metallurgical Accounting and Reconciliation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