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Plant Surveys and Circuit Performance Assessment</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Plant surveys and circuit performance assessment - survey planning and execution, flow and density verification, screen and cyclone performance, residence time, leach, CIL and adsorption profiles, thickener performance, elution assessment, dosing verification, screen efficiency, carbon and resin loss, and oxygen utilisation.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12 (JSEA-PRO-MET-203-001 to -012)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plant surveys and circuit performance assessment at the Mt. Morgan processing plant. It is the procedure that the 12 hazard analyses and 12 work instructions in register area 203 sit under.</w:t>
      </w:r>
    </w:p>
    <w:p>
      <w:pPr>
        <w:spacing w:after="60" w:before="0" w:line="245"/>
      </w:pPr>
      <w:r>
        <w:rPr>
          <w:rFonts w:ascii="Calibri" w:cs="Calibri" w:eastAsia="Calibri" w:hAnsi="Calibri"/>
          <w:sz w:val="17"/>
          <w:szCs w:val="17"/>
        </w:rPr>
        <w:t xml:space="preserve">Plant surveys and circuit performance assessment - survey planning and execution, flow and density verification, screen and cyclone performance, residence time, leach, CIL and adsorption profiles, thickener performance, elution assessment, dosing verification, screen efficiency, carbon and resin loss, and oxygen utilisation.</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Fall from a tank top, launder platform, column platform or access ladder</w:t>
      </w:r>
    </w:p>
    <w:p>
      <w:pPr>
        <w:pStyle w:val="ListParagraph"/>
        <w:numPr>
          <w:ilvl w:val="0"/>
          <w:numId w:val="1"/>
        </w:numPr>
        <w:spacing w:after="60" w:line="245"/>
      </w:pPr>
      <w:r>
        <w:rPr>
          <w:rFonts w:ascii="Calibri" w:cs="Calibri" w:eastAsia="Calibri" w:hAnsi="Calibri"/>
          <w:sz w:val="17"/>
          <w:szCs w:val="17"/>
        </w:rPr>
        <w:t xml:space="preserve">Working alone in a cyanide area where a collapse would not be seen</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Slip, trip or fall on wet or slurry-covered walkways around sample points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Manual handling injury from carrying sample buckets, containers and composite drums</w:t>
      </w:r>
    </w:p>
    <w:p>
      <w:pPr>
        <w:pStyle w:val="ListParagraph"/>
        <w:numPr>
          <w:ilvl w:val="0"/>
          <w:numId w:val="1"/>
        </w:numPr>
        <w:spacing w:after="60" w:line="245"/>
      </w:pPr>
      <w:r>
        <w:rPr>
          <w:rFonts w:ascii="Calibri" w:cs="Calibri" w:eastAsia="Calibri" w:hAnsi="Calibri"/>
          <w:sz w:val="17"/>
          <w:szCs w:val="17"/>
        </w:rPr>
        <w:t xml:space="preserve">Hearing damage in the mill, screen, compressor and blower areas</w:t>
      </w:r>
    </w:p>
    <w:p>
      <w:pPr>
        <w:pStyle w:val="ListParagraph"/>
        <w:numPr>
          <w:ilvl w:val="0"/>
          <w:numId w:val="1"/>
        </w:numPr>
        <w:spacing w:after="60" w:line="245"/>
      </w:pPr>
      <w:r>
        <w:rPr>
          <w:rFonts w:ascii="Calibri" w:cs="Calibri" w:eastAsia="Calibri" w:hAnsi="Calibri"/>
          <w:sz w:val="17"/>
          <w:szCs w:val="17"/>
        </w:rPr>
        <w:t xml:space="preserve">Inhalation of or contact with solid reagent - cyanide briquettes, lime or salt</w:t>
      </w:r>
    </w:p>
    <w:p>
      <w:pPr>
        <w:pStyle w:val="ListParagraph"/>
        <w:numPr>
          <w:ilvl w:val="0"/>
          <w:numId w:val="1"/>
        </w:numPr>
        <w:spacing w:after="60" w:line="245"/>
      </w:pPr>
      <w:r>
        <w:rPr>
          <w:rFonts w:ascii="Calibri" w:cs="Calibri" w:eastAsia="Calibri" w:hAnsi="Calibri"/>
          <w:sz w:val="17"/>
          <w:szCs w:val="17"/>
        </w:rPr>
        <w:t xml:space="preserve">Confined space atmosphere at a tank top hatch, launder or hopper opening</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Mercury vapour in the gold room, elution and retort areas</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JSEA-PRO-MET-203-001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SWI-PRO-MET-203-001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Plant Survey Planning, Permitting and Execution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JSEA-PRO-MET-203-002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SWI-PRO-MET-203-002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Slurry Flow, Density and Tonnage Verification Survey</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JSEA-PRO-MET-203-003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SWI-PRO-MET-203-003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Screen and Cyclone Performance Survey - Size Split Determination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JSEA-PRO-MET-203-004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SWI-PRO-MET-203-004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Residence Time and Tracer Test on Leach and Adsorption Trains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JSEA-PRO-MET-203-005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SWI-PRO-MET-203-005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Leach and CIL Profile Survey - Tank-by-Tank Gold and Cyanide Profile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JSEA-PRO-MET-203-006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SWI-PRO-MET-203-006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Adsorption Profile Survey - Metal and Cyanide Resin Circuits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JSEA-PRO-MET-203-007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SWI-PRO-MET-203-007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Thickener Performance Survey - Flux, Bed Level and Flocculant Response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JSEA-PRO-MET-203-008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SWI-PRO-MET-203-008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Elution and Electrowinning Batch Performance Assessment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JSEA-PRO-MET-203-009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SWI-PRO-MET-203-009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Reagent Dosing Verification and Dosing Pump Calibration Check</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JSEA-PRO-MET-203-010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SWI-PRO-MET-203-010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Interstage and Safety Screen Efficiency Check and Loss Quantification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JSEA-PRO-MET-203-011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SWI-PRO-MET-203-011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Carbon and Resin Loss Quantification Survey</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JSEA-PRO-MET-203-012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SWI-PRO-MET-203-012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Oxygen Utilisation and Sparger Performance Survey</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203-001  Plant Survey Planning, Permitting and Execution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As required for a performance survey; typically quarterly and after any significant plant change.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203-002  Slurry Flow, Density and Tonnage Verification Survey</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Quarterly, and after any instrument replacement or recalibration.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203-003  Screen and Cyclone Performance Survey - Size Split Determination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Quarterly, and after any panel change or aperture change.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203-004  Residence Time and Tracer Test on Leach and Adsorption Trains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Once at commissioning, then after any change to feed rate, agitator or tank configuration.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203-005  Leach and CIL Profile Survey - Tank-by-Tank Gold and Cyanide Profile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Quarterly, and whenever recovery moves without an obvious cause.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203-006  Adsorption Profile Survey - Metal and Cyanide Resin Circuits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Quarterly, and after any change to resin inventory or transfer rate.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203-007  Thickener Performance Survey - Flux, Bed Level and Flocculant Response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Quarterly, and whenever overflow clarity or underflow density moves.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203-008  Elution and Electrowinning Batch Performance Assessment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batch, assessed and trended monthly.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203-009  Reagent Dosing Verification and Dosing Pump Calibration Check</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Quarterly, and after any dosing pump repair or replacement.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203-010  Interstage and Safety Screen Efficiency Check and Loss Quantification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Monthly, and after any panel replacement.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203-011  Carbon and Resin Loss Quantification Survey</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Quarterly, and whenever the inventory reconciliation shows an unexplained loss.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203-012  Oxygen Utilisation and Sparger Performance Survey</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Quarterly, and after any sparger clean or replacement.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KBK-MIR-MP-PRO-MET-SOP-0027 Grinding Survey, received 11 Aug 2026 - a worked plant survey end to end</w:t>
      </w:r>
    </w:p>
    <w:p>
      <w:pPr>
        <w:pStyle w:val="ListParagraph"/>
        <w:numPr>
          <w:ilvl w:val="0"/>
          <w:numId w:val="1"/>
        </w:numPr>
        <w:spacing w:after="60" w:line="245"/>
      </w:pPr>
      <w:r>
        <w:rPr>
          <w:rFonts w:ascii="Calibri" w:cs="Calibri" w:eastAsia="Calibri" w:hAnsi="Calibri"/>
          <w:sz w:val="17"/>
          <w:szCs w:val="17"/>
        </w:rPr>
        <w:t xml:space="preserve">KBK-MIR-MP-PRO-MET-SOP-0047 Pengukuran Profil Lumpur Cyclone Over Flow, received 11 Aug 2026</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ListParagraph"/>
        <w:numPr>
          <w:ilvl w:val="0"/>
          <w:numId w:val="1"/>
        </w:numPr>
        <w:spacing w:after="60" w:line="245"/>
      </w:pPr>
      <w:r>
        <w:rPr>
          <w:rFonts w:ascii="Calibri" w:cs="Calibri" w:eastAsia="Calibri" w:hAnsi="Calibri"/>
          <w:sz w:val="17"/>
          <w:szCs w:val="17"/>
        </w:rPr>
        <w:t xml:space="preserve">KBK-MIR-MP-PRO-OPE-SOP-0004 SG Determination by Marcy Scale</w:t>
      </w:r>
    </w:p>
    <w:p>
      <w:pPr>
        <w:pStyle w:val="ListParagraph"/>
        <w:numPr>
          <w:ilvl w:val="0"/>
          <w:numId w:val="1"/>
        </w:numPr>
        <w:spacing w:after="60" w:line="245"/>
      </w:pPr>
      <w:r>
        <w:rPr>
          <w:rFonts w:ascii="Calibri" w:cs="Calibri" w:eastAsia="Calibri" w:hAnsi="Calibri"/>
          <w:sz w:val="17"/>
          <w:szCs w:val="17"/>
        </w:rPr>
        <w:t xml:space="preserve">KBK-MIR-MP-PRO-MET-SOP-0045 Pengukuran Densitas Lumpur, received 11 Aug 2026</w:t>
      </w:r>
    </w:p>
    <w:p>
      <w:pPr>
        <w:pStyle w:val="ListParagraph"/>
        <w:numPr>
          <w:ilvl w:val="0"/>
          <w:numId w:val="1"/>
        </w:numPr>
        <w:spacing w:after="60" w:line="245"/>
      </w:pPr>
      <w:r>
        <w:rPr>
          <w:rFonts w:ascii="Calibri" w:cs="Calibri" w:eastAsia="Calibri" w:hAnsi="Calibri"/>
          <w:sz w:val="17"/>
          <w:szCs w:val="17"/>
        </w:rPr>
        <w:t xml:space="preserve">4034-002-VE-025 McLanahan rotary scrubber IO&amp;M and 4034-001-VE-038 IsaMill control philosophy, both received 11 Aug 2026</w:t>
      </w:r>
    </w:p>
    <w:p>
      <w:pPr>
        <w:pStyle w:val="ListParagraph"/>
        <w:numPr>
          <w:ilvl w:val="0"/>
          <w:numId w:val="1"/>
        </w:numPr>
        <w:spacing w:after="60" w:line="245"/>
      </w:pPr>
      <w:r>
        <w:rPr>
          <w:rFonts w:ascii="Calibri" w:cs="Calibri" w:eastAsia="Calibri" w:hAnsi="Calibri"/>
          <w:sz w:val="17"/>
          <w:szCs w:val="17"/>
        </w:rPr>
        <w:t xml:space="preserve">KBK-MIR-MP-PRO-OPE-SOP-0008 Cyclone Efficiency</w:t>
      </w:r>
    </w:p>
    <w:p>
      <w:pPr>
        <w:pStyle w:val="ListParagraph"/>
        <w:numPr>
          <w:ilvl w:val="0"/>
          <w:numId w:val="1"/>
        </w:numPr>
        <w:spacing w:after="60" w:line="245"/>
      </w:pPr>
      <w:r>
        <w:rPr>
          <w:rFonts w:ascii="Calibri" w:cs="Calibri" w:eastAsia="Calibri" w:hAnsi="Calibri"/>
          <w:sz w:val="17"/>
          <w:szCs w:val="17"/>
        </w:rPr>
        <w:t xml:space="preserve">KBK-MIR-MP-PRO-MET-SOP-0029 Sizing Harian COF and SOP-0020 Distribusi Logam dan Ukuran, both received 11 Aug 2026</w:t>
      </w:r>
    </w:p>
    <w:p>
      <w:pPr>
        <w:pStyle w:val="ListParagraph"/>
        <w:numPr>
          <w:ilvl w:val="0"/>
          <w:numId w:val="1"/>
        </w:numPr>
        <w:spacing w:after="60" w:line="245"/>
      </w:pPr>
      <w:r>
        <w:rPr>
          <w:rFonts w:ascii="Calibri" w:cs="Calibri" w:eastAsia="Calibri" w:hAnsi="Calibri"/>
          <w:sz w:val="17"/>
          <w:szCs w:val="17"/>
        </w:rPr>
        <w:t xml:space="preserve">MM-4034-033 Screen Aperture Register</w:t>
      </w:r>
    </w:p>
    <w:p>
      <w:pPr>
        <w:pStyle w:val="ListParagraph"/>
        <w:numPr>
          <w:ilvl w:val="0"/>
          <w:numId w:val="1"/>
        </w:numPr>
        <w:spacing w:after="60" w:line="245"/>
      </w:pPr>
      <w:r>
        <w:rPr>
          <w:rFonts w:ascii="Calibri" w:cs="Calibri" w:eastAsia="Calibri" w:hAnsi="Calibri"/>
          <w:sz w:val="17"/>
          <w:szCs w:val="17"/>
        </w:rPr>
        <w:t xml:space="preserve">4034-004-VE-025 and 4034-011-VE-022 Goldquip screen manuals, received 11 Aug 2026</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Plant Operating Manual Sections 3.4 and 3.5 - train configuration and design residence time</w:t>
      </w:r>
    </w:p>
    <w:p>
      <w:pPr>
        <w:pStyle w:val="ListParagraph"/>
        <w:numPr>
          <w:ilvl w:val="0"/>
          <w:numId w:val="1"/>
        </w:numPr>
        <w:spacing w:after="60" w:line="245"/>
      </w:pPr>
      <w:r>
        <w:rPr>
          <w:rFonts w:ascii="Calibri" w:cs="Calibri" w:eastAsia="Calibri" w:hAnsi="Calibri"/>
          <w:sz w:val="17"/>
          <w:szCs w:val="17"/>
        </w:rPr>
        <w:t xml:space="preserve">4034-PR-PRO-002 Sampling Protocol, Leach Area table</w:t>
      </w:r>
    </w:p>
    <w:p>
      <w:pPr>
        <w:pStyle w:val="ListParagraph"/>
        <w:numPr>
          <w:ilvl w:val="0"/>
          <w:numId w:val="1"/>
        </w:numPr>
        <w:spacing w:after="60" w:line="245"/>
      </w:pPr>
      <w:r>
        <w:rPr>
          <w:rFonts w:ascii="Calibri" w:cs="Calibri" w:eastAsia="Calibri" w:hAnsi="Calibri"/>
          <w:sz w:val="17"/>
          <w:szCs w:val="17"/>
        </w:rPr>
        <w:t xml:space="preserve">KBK-MIR-MP-PRO-MET-SOP-0019 Profil Leaching and SOP-0048 leach tank sampling and profile, both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 and PRO005 Carbon in Leach</w:t>
      </w:r>
    </w:p>
    <w:p>
      <w:pPr>
        <w:pStyle w:val="ListParagraph"/>
        <w:numPr>
          <w:ilvl w:val="0"/>
          <w:numId w:val="1"/>
        </w:numPr>
        <w:spacing w:after="60" w:line="245"/>
      </w:pPr>
      <w:r>
        <w:rPr>
          <w:rFonts w:ascii="Calibri" w:cs="Calibri" w:eastAsia="Calibri" w:hAnsi="Calibri"/>
          <w:sz w:val="17"/>
          <w:szCs w:val="17"/>
        </w:rPr>
        <w:t xml:space="preserve">4034-PR-PRO-002 Sampling Protocol, ReCYN Adsorption table</w:t>
      </w:r>
    </w:p>
    <w:p>
      <w:pPr>
        <w:pStyle w:val="ListParagraph"/>
        <w:numPr>
          <w:ilvl w:val="0"/>
          <w:numId w:val="1"/>
        </w:numPr>
        <w:spacing w:after="60" w:line="245"/>
      </w:pPr>
      <w:r>
        <w:rPr>
          <w:rFonts w:ascii="Calibri" w:cs="Calibri" w:eastAsia="Calibri" w:hAnsi="Calibri"/>
          <w:sz w:val="17"/>
          <w:szCs w:val="17"/>
        </w:rPr>
        <w:t xml:space="preserve">KBK-MIR-MP-PRO-MET-SOP-0049 resin tank sampling and profile and SOP-0058 resin PSD, both received 11 Aug 2026</w:t>
      </w:r>
    </w:p>
    <w:p>
      <w:pPr>
        <w:pStyle w:val="ListParagraph"/>
        <w:numPr>
          <w:ilvl w:val="0"/>
          <w:numId w:val="1"/>
        </w:numPr>
        <w:spacing w:after="60" w:line="245"/>
      </w:pPr>
      <w:r>
        <w:rPr>
          <w:rFonts w:ascii="Calibri" w:cs="Calibri" w:eastAsia="Calibri" w:hAnsi="Calibri"/>
          <w:sz w:val="17"/>
          <w:szCs w:val="17"/>
        </w:rPr>
        <w:t xml:space="preserve">KBK SOP-PROC-CNREC-01 Resin transfer between adsorption tanks, received 11 Aug 2026</w:t>
      </w:r>
    </w:p>
    <w:p>
      <w:pPr>
        <w:pStyle w:val="ListParagraph"/>
        <w:numPr>
          <w:ilvl w:val="0"/>
          <w:numId w:val="1"/>
        </w:numPr>
        <w:spacing w:after="60" w:line="245"/>
      </w:pPr>
      <w:r>
        <w:rPr>
          <w:rFonts w:ascii="Calibri" w:cs="Calibri" w:eastAsia="Calibri" w:hAnsi="Calibri"/>
          <w:sz w:val="17"/>
          <w:szCs w:val="17"/>
        </w:rPr>
        <w:t xml:space="preserve">HM-PRC-V01-PRO006 and PRO007</w:t>
      </w:r>
    </w:p>
    <w:p>
      <w:pPr>
        <w:pStyle w:val="ListParagraph"/>
        <w:numPr>
          <w:ilvl w:val="0"/>
          <w:numId w:val="1"/>
        </w:numPr>
        <w:spacing w:after="60" w:line="245"/>
      </w:pPr>
      <w:r>
        <w:rPr>
          <w:rFonts w:ascii="Calibri" w:cs="Calibri" w:eastAsia="Calibri" w:hAnsi="Calibri"/>
          <w:sz w:val="17"/>
          <w:szCs w:val="17"/>
        </w:rPr>
        <w:t xml:space="preserve">Tail Thickener and Cu Thickener Field Operator Procedures</w:t>
      </w:r>
    </w:p>
    <w:p>
      <w:pPr>
        <w:pStyle w:val="ListParagraph"/>
        <w:numPr>
          <w:ilvl w:val="0"/>
          <w:numId w:val="1"/>
        </w:numPr>
        <w:spacing w:after="60" w:line="245"/>
      </w:pPr>
      <w:r>
        <w:rPr>
          <w:rFonts w:ascii="Calibri" w:cs="Calibri" w:eastAsia="Calibri" w:hAnsi="Calibri"/>
          <w:sz w:val="17"/>
          <w:szCs w:val="17"/>
        </w:rPr>
        <w:t xml:space="preserve">4034-018A-VE-007 Roytec tails thickener control philosophy and 4034-018A-VE-045 IOM, both received 11 Aug 2026 - rake torque, bed level and underflow density limits</w:t>
      </w:r>
    </w:p>
    <w:p>
      <w:pPr>
        <w:pStyle w:val="ListParagraph"/>
        <w:numPr>
          <w:ilvl w:val="0"/>
          <w:numId w:val="1"/>
        </w:numPr>
        <w:spacing w:after="60" w:line="245"/>
      </w:pPr>
      <w:r>
        <w:rPr>
          <w:rFonts w:ascii="Calibri" w:cs="Calibri" w:eastAsia="Calibri" w:hAnsi="Calibri"/>
          <w:sz w:val="17"/>
          <w:szCs w:val="17"/>
        </w:rPr>
        <w:t xml:space="preserve">4034-019-VE-006 Model 01 and 4034-019B-VE-007 Model 05 Roytec flocculant control philosophies, received 11 Aug 2026</w:t>
      </w:r>
    </w:p>
    <w:p>
      <w:pPr>
        <w:pStyle w:val="ListParagraph"/>
        <w:numPr>
          <w:ilvl w:val="0"/>
          <w:numId w:val="1"/>
        </w:numPr>
        <w:spacing w:after="60" w:line="245"/>
      </w:pPr>
      <w:r>
        <w:rPr>
          <w:rFonts w:ascii="Calibri" w:cs="Calibri" w:eastAsia="Calibri" w:hAnsi="Calibri"/>
          <w:sz w:val="17"/>
          <w:szCs w:val="17"/>
        </w:rPr>
        <w:t xml:space="preserve">KBK-MIR-MP-PRO-OPE-SOP-0014 Settling Test</w:t>
      </w:r>
    </w:p>
    <w:p>
      <w:pPr>
        <w:pStyle w:val="ListParagraph"/>
        <w:numPr>
          <w:ilvl w:val="0"/>
          <w:numId w:val="1"/>
        </w:numPr>
        <w:spacing w:after="60" w:line="245"/>
      </w:pPr>
      <w:r>
        <w:rPr>
          <w:rFonts w:ascii="Calibri" w:cs="Calibri" w:eastAsia="Calibri" w:hAnsi="Calibri"/>
          <w:sz w:val="17"/>
          <w:szCs w:val="17"/>
        </w:rPr>
        <w:t xml:space="preserve">HM-PRC-V01-PRO008 and PRO016</w:t>
      </w:r>
    </w:p>
    <w:p>
      <w:pPr>
        <w:pStyle w:val="ListParagraph"/>
        <w:numPr>
          <w:ilvl w:val="0"/>
          <w:numId w:val="1"/>
        </w:numPr>
        <w:spacing w:after="60" w:line="245"/>
      </w:pPr>
      <w:r>
        <w:rPr>
          <w:rFonts w:ascii="Calibri" w:cs="Calibri" w:eastAsia="Calibri" w:hAnsi="Calibri"/>
          <w:sz w:val="17"/>
          <w:szCs w:val="17"/>
        </w:rPr>
        <w:t xml:space="preserve">4034-013-VE-028 Applied Heat Thermomat 2300 O&amp;M manual, received 11 Aug 2026 - strip temperatures and circuit design conditions</w:t>
      </w:r>
    </w:p>
    <w:p>
      <w:pPr>
        <w:pStyle w:val="ListParagraph"/>
        <w:numPr>
          <w:ilvl w:val="0"/>
          <w:numId w:val="1"/>
        </w:numPr>
        <w:spacing w:after="60" w:line="245"/>
      </w:pPr>
      <w:r>
        <w:rPr>
          <w:rFonts w:ascii="Calibri" w:cs="Calibri" w:eastAsia="Calibri" w:hAnsi="Calibri"/>
          <w:sz w:val="17"/>
          <w:szCs w:val="17"/>
        </w:rPr>
        <w:t xml:space="preserve">4034-014-VE-004 and -019 Stantil carbon regeneration kiln control philosophy and IOM, received 11 Aug 2026</w:t>
      </w:r>
    </w:p>
    <w:p>
      <w:pPr>
        <w:pStyle w:val="ListParagraph"/>
        <w:numPr>
          <w:ilvl w:val="0"/>
          <w:numId w:val="1"/>
        </w:numPr>
        <w:spacing w:after="60" w:line="245"/>
      </w:pPr>
      <w:r>
        <w:rPr>
          <w:rFonts w:ascii="Calibri" w:cs="Calibri" w:eastAsia="Calibri" w:hAnsi="Calibri"/>
          <w:sz w:val="17"/>
          <w:szCs w:val="17"/>
        </w:rPr>
        <w:t xml:space="preserve">HM-PRC-V01-PRO011 Gold Elution and PRO013 Gold Electrowinning</w:t>
      </w:r>
    </w:p>
    <w:p>
      <w:pPr>
        <w:pStyle w:val="ListParagraph"/>
        <w:numPr>
          <w:ilvl w:val="0"/>
          <w:numId w:val="1"/>
        </w:numPr>
        <w:spacing w:after="60" w:line="245"/>
      </w:pPr>
      <w:r>
        <w:rPr>
          <w:rFonts w:ascii="Calibri" w:cs="Calibri" w:eastAsia="Calibri" w:hAnsi="Calibri"/>
          <w:sz w:val="17"/>
          <w:szCs w:val="17"/>
        </w:rPr>
        <w:t xml:space="preserve">HM-PRC-V01-PRO021 to PRO027 reagent procedures</w:t>
      </w:r>
    </w:p>
    <w:p>
      <w:pPr>
        <w:pStyle w:val="ListParagraph"/>
        <w:numPr>
          <w:ilvl w:val="0"/>
          <w:numId w:val="1"/>
        </w:numPr>
        <w:spacing w:after="60" w:line="245"/>
      </w:pPr>
      <w:r>
        <w:rPr>
          <w:rFonts w:ascii="Calibri" w:cs="Calibri" w:eastAsia="Calibri" w:hAnsi="Calibri"/>
          <w:sz w:val="17"/>
          <w:szCs w:val="17"/>
        </w:rPr>
        <w:t xml:space="preserve">HM-PP-006B Reagents Consumption 2026 - design dose rates</w:t>
      </w:r>
    </w:p>
    <w:p>
      <w:pPr>
        <w:pStyle w:val="ListParagraph"/>
        <w:numPr>
          <w:ilvl w:val="0"/>
          <w:numId w:val="1"/>
        </w:numPr>
        <w:spacing w:after="60" w:line="245"/>
      </w:pPr>
      <w:r>
        <w:rPr>
          <w:rFonts w:ascii="Calibri" w:cs="Calibri" w:eastAsia="Calibri" w:hAnsi="Calibri"/>
          <w:sz w:val="17"/>
          <w:szCs w:val="17"/>
        </w:rPr>
        <w:t xml:space="preserve">4034-046-VE-019 Transmin quicklime slaking plant functional description, received 11 Aug 2026</w:t>
      </w:r>
    </w:p>
    <w:p>
      <w:pPr>
        <w:pStyle w:val="ListParagraph"/>
        <w:numPr>
          <w:ilvl w:val="0"/>
          <w:numId w:val="1"/>
        </w:numPr>
        <w:spacing w:after="60" w:line="245"/>
      </w:pPr>
      <w:r>
        <w:rPr>
          <w:rFonts w:ascii="Calibri" w:cs="Calibri" w:eastAsia="Calibri" w:hAnsi="Calibri"/>
          <w:sz w:val="17"/>
          <w:szCs w:val="17"/>
        </w:rPr>
        <w:t xml:space="preserve">RA-01 Resin Loss and RA-02 Carbon Contamination Registers Rev A</w:t>
      </w:r>
    </w:p>
    <w:p>
      <w:pPr>
        <w:pStyle w:val="ListParagraph"/>
        <w:numPr>
          <w:ilvl w:val="0"/>
          <w:numId w:val="1"/>
        </w:numPr>
        <w:spacing w:after="60" w:line="245"/>
      </w:pPr>
      <w:r>
        <w:rPr>
          <w:rFonts w:ascii="Calibri" w:cs="Calibri" w:eastAsia="Calibri" w:hAnsi="Calibri"/>
          <w:sz w:val="17"/>
          <w:szCs w:val="17"/>
        </w:rPr>
        <w:t xml:space="preserve">KBK-MIR-MP-PRO-MET-SOP-0028 Sizing Harian CIL Tail, received 11 Aug 2026</w:t>
      </w:r>
    </w:p>
    <w:p>
      <w:pPr>
        <w:pStyle w:val="ListParagraph"/>
        <w:numPr>
          <w:ilvl w:val="0"/>
          <w:numId w:val="1"/>
        </w:numPr>
        <w:spacing w:after="60" w:line="245"/>
      </w:pPr>
      <w:r>
        <w:rPr>
          <w:rFonts w:ascii="Calibri" w:cs="Calibri" w:eastAsia="Calibri" w:hAnsi="Calibri"/>
          <w:sz w:val="17"/>
          <w:szCs w:val="17"/>
        </w:rPr>
        <w:t xml:space="preserve">SWI-PRO-OPR-032-003, -004 and -005 screen instructions, issued</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 Rev A, and their study reports</w:t>
      </w:r>
    </w:p>
    <w:p>
      <w:pPr>
        <w:pStyle w:val="ListParagraph"/>
        <w:numPr>
          <w:ilvl w:val="0"/>
          <w:numId w:val="1"/>
        </w:numPr>
        <w:spacing w:after="60" w:line="245"/>
      </w:pPr>
      <w:r>
        <w:rPr>
          <w:rFonts w:ascii="Calibri" w:cs="Calibri" w:eastAsia="Calibri" w:hAnsi="Calibri"/>
          <w:sz w:val="17"/>
          <w:szCs w:val="17"/>
        </w:rPr>
        <w:t xml:space="preserve">MM-4034-033-RES Resin Line Schedule (268 lines)</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4034-044-VE-003 Rev B Glencore Hypersparge supersonic gas sparger installation and operating instructions, received 11 Aug 2026</w:t>
      </w:r>
    </w:p>
    <w:p>
      <w:pPr>
        <w:pStyle w:val="ListParagraph"/>
        <w:numPr>
          <w:ilvl w:val="0"/>
          <w:numId w:val="1"/>
        </w:numPr>
        <w:spacing w:after="60" w:line="245"/>
      </w:pPr>
      <w:r>
        <w:rPr>
          <w:rFonts w:ascii="Calibri" w:cs="Calibri" w:eastAsia="Calibri" w:hAnsi="Calibri"/>
          <w:sz w:val="17"/>
          <w:szCs w:val="17"/>
        </w:rPr>
        <w:t xml:space="preserve">KBK-MIR-MP-PRO-MET-SOP-0046 Pengukuran Oksigen Terlarut,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 and SWI-PRO-OPR-031-004 Oxygen Sparger Inspection and Cleaning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SWI-PRO-MET-203-011 is the work instruction for JSEA-PRO-MET-203-011.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203</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HM-PRC-VXX-PRO207  ·  Plant Surveys and Circuit Performance Assessment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