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Metallurgical Laboratory Chemical and Leach Testwork</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chemical and leach testwork - cyanide, caustic, acid and chloride titration, lime availability and demand, bottle roll and diagnostic leach testwork, adsorption testwork on carbon and resin, precipitate determination, standard solution preparation and automatic titrator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19 (JSEA-PRO-MET-205-001 to -019)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metallurgical laboratory chemical and leach testwork at the Mt. Morgan processing plant. It is the procedure that the 19 hazard analyses and 19 work instructions in register area 205 sit under.</w:t>
      </w:r>
    </w:p>
    <w:p>
      <w:pPr>
        <w:spacing w:after="60" w:before="0" w:line="245"/>
      </w:pPr>
      <w:r>
        <w:rPr>
          <w:rFonts w:ascii="Calibri" w:cs="Calibri" w:eastAsia="Calibri" w:hAnsi="Calibri"/>
          <w:sz w:val="17"/>
          <w:szCs w:val="17"/>
        </w:rPr>
        <w:t xml:space="preserve">Metallurgical laboratory chemical and leach testwork - cyanide, caustic, acid and chloride titration, lime availability and demand, bottle roll and diagnostic leach testwork, adsorption testwork on carbon and resin, precipitate determination, standard solution preparation and automatic titrator operation.</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Inhalation of acid fume or reagent vapour at the bench</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Contact with sodium hydroxide solution - burn to skin or eyes</w:t>
      </w:r>
    </w:p>
    <w:p>
      <w:pPr>
        <w:pStyle w:val="ListParagraph"/>
        <w:numPr>
          <w:ilvl w:val="0"/>
          <w:numId w:val="1"/>
        </w:numPr>
        <w:spacing w:after="60" w:line="245"/>
      </w:pPr>
      <w:r>
        <w:rPr>
          <w:rFonts w:ascii="Calibri" w:cs="Calibri" w:eastAsia="Calibri" w:hAnsi="Calibri"/>
          <w:sz w:val="17"/>
          <w:szCs w:val="17"/>
        </w:rPr>
        <w:t xml:space="preserve">Contact with sulphuric or hydrochloric acid - burn to skin or eyes</w:t>
      </w:r>
    </w:p>
    <w:p>
      <w:pPr>
        <w:pStyle w:val="ListParagraph"/>
        <w:numPr>
          <w:ilvl w:val="0"/>
          <w:numId w:val="1"/>
        </w:numPr>
        <w:spacing w:after="60" w:line="245"/>
      </w:pPr>
      <w:r>
        <w:rPr>
          <w:rFonts w:ascii="Calibri" w:cs="Calibri" w:eastAsia="Calibri" w:hAnsi="Calibri"/>
          <w:sz w:val="17"/>
          <w:szCs w:val="17"/>
        </w:rPr>
        <w:t xml:space="preserve">Inhalation of or contact with solid reagent - cyanide briquettes, lime or salt</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Hearing damage in the mill, screen, compressor and blower areas</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Hydrogen sulphide released from sodium hydrosulphide or from an acidified sulphide stream</w:t>
      </w:r>
    </w:p>
    <w:p>
      <w:pPr>
        <w:pStyle w:val="ListParagraph"/>
        <w:numPr>
          <w:ilvl w:val="0"/>
          <w:numId w:val="1"/>
        </w:numPr>
        <w:spacing w:after="60" w:line="245"/>
      </w:pPr>
      <w:r>
        <w:rPr>
          <w:rFonts w:ascii="Calibri" w:cs="Calibri" w:eastAsia="Calibri" w:hAnsi="Calibri"/>
          <w:sz w:val="17"/>
          <w:szCs w:val="17"/>
        </w:rPr>
        <w:t xml:space="preserve">Contact with live electrical equipment at a sample pump, cutter or local control station</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Free Cyanide Titration - Silver Nitrate Method</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Caustic Soda Strength Titration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Sulphuric Acid Strength Titration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Sodium Chloride (Chloride) Titration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Lime Availability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Lime Addition and Lime Demand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Bottle Roll Leach Test - As-Received and Pulverised</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Extended and Diagnostic Leach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CIL/CIP Sequential Triple Contact Testwork</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Carbon Adsorption Capacity and Isotherm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Carbon Activity and Ball-Pan Hardness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SWI-PRO-MET-205-012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Resin Adsorption Capacity and Kinetics Test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JSEA-PRO-MET-205-013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SWI-PRO-MET-205-013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Resin Elution Efficiency and Barren Resin Loading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JSEA-PRO-MET-205-014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SWI-PRO-MET-205-014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Resin Fouling, Osmotic Shock and Bead Integrity Assessment</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JSEA-PRO-MET-205-015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SWI-PRO-MET-205-015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Destruction (Detox) Bench Test</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JSEA-PRO-MET-205-016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SWI-PRO-MET-205-016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Precipitate and Platelet Content Determination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JSEA-PRO-MET-205-017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SWI-PRO-MET-205-017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Preparation of Standard and Working Solutions</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JSEA-PRO-MET-205-018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SWI-PRO-MET-205-018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Automatic Titrator Operation and Method Set-Up</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JSEA-PRO-MET-205-019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SWI-PRO-MET-205-019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Automatic Titrator Electrode Care, Standardisation and Verification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205-001  Free Cyanide Titration - Silver Nitrate Method</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shift on every cyanide-bearing stream on the schedule.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205-002  Caustic Soda Strength Titration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made-up batch and once per shift on standing solution.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205-003  Sulphuric Acid Strength Titration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made-up batch and once per shift on standing solution.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205-004  Sodium Chloride (Chloride) Titration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made-up batch and per the analysis schedule.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205-005  Lime Availability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delivery and weekly on the slaked slurry.</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205-006  Lime Addition and Lime Demand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whenever plant lime consumption moves.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205-007  Bottle Roll Leach Test - As-Received and Pulverised</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on any tail sample being investigated.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205-008  Extended and Diagnostic Leach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 tail investigation and on each new ore type.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205-009  CIL/CIP Sequential Triple Contact Testwork</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each new ore type and when adsorption performance is being investigated.</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205-010  Carbon Adsorption Capacity and Isotherm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and on every new carbon delivery.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205-011  Carbon Activity and Ball-Pan Hardness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Monthly, and on every new carbon delivery.</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205-012  Resin Adsorption Capacity and Kinetics Test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data arrives.</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205-013  Resin Elution Efficiency and Barren Resin Loading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vendor data arrives.</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205-014  Resin Fouling, Osmotic Shock and Bead Integrity Assessment</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and after any osmotic shock event.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205-015  Cyanide Destruction (Detox) Bench Test</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To be set once the route is chosen.</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205-016  Precipitate and Platelet Content Determination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lot and per the analysis schedule.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205-017  Preparation of Standard and Working Solutions</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As the solution register requires; standards re-standardised at the set interval.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205-018  Automatic Titrator Operation and Method Set-Up</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At set-up, and whenever a method is added or changed.</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205-019  Automatic Titrator Electrode Care, Standardisation and Verification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Daily standardisation; weekly verification; replacement on failure.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KBK-MIR-MP-PRO-OPE-SOP-0010 Titrasi Sianida</w:t>
      </w:r>
    </w:p>
    <w:p>
      <w:pPr>
        <w:pStyle w:val="ListParagraph"/>
        <w:numPr>
          <w:ilvl w:val="0"/>
          <w:numId w:val="1"/>
        </w:numPr>
        <w:spacing w:after="60" w:line="245"/>
      </w:pPr>
      <w:r>
        <w:rPr>
          <w:rFonts w:ascii="Calibri" w:cs="Calibri" w:eastAsia="Calibri" w:hAnsi="Calibri"/>
          <w:sz w:val="17"/>
          <w:szCs w:val="17"/>
        </w:rPr>
        <w:t xml:space="preserve">KBK-MIR-MP-PRO-MET-SOP-0037 Titrasi Sianida dengan Perak Nitrat and SOP-0043 AgNO3 0.01 M standard, both received 11 Aug 2026</w:t>
      </w:r>
    </w:p>
    <w:p>
      <w:pPr>
        <w:pStyle w:val="ListParagraph"/>
        <w:numPr>
          <w:ilvl w:val="0"/>
          <w:numId w:val="1"/>
        </w:numPr>
        <w:spacing w:after="60" w:line="245"/>
      </w:pPr>
      <w:r>
        <w:rPr>
          <w:rFonts w:ascii="Calibri" w:cs="Calibri" w:eastAsia="Calibri" w:hAnsi="Calibri"/>
          <w:sz w:val="17"/>
          <w:szCs w:val="17"/>
        </w:rPr>
        <w:t xml:space="preserve">KBK-MIR-MP-PRO-OPE-SOP-0009 Titrasi Kaustik Soda</w:t>
      </w:r>
    </w:p>
    <w:p>
      <w:pPr>
        <w:pStyle w:val="ListParagraph"/>
        <w:numPr>
          <w:ilvl w:val="0"/>
          <w:numId w:val="1"/>
        </w:numPr>
        <w:spacing w:after="60" w:line="245"/>
      </w:pPr>
      <w:r>
        <w:rPr>
          <w:rFonts w:ascii="Calibri" w:cs="Calibri" w:eastAsia="Calibri" w:hAnsi="Calibri"/>
          <w:sz w:val="17"/>
          <w:szCs w:val="17"/>
        </w:rPr>
        <w:t xml:space="preserve">KBK-MIR-MP-PRO-MET-SOP-0025 and SOP-0039/0040 hydrochloric acid titration, received 11 Aug 2026</w:t>
      </w:r>
    </w:p>
    <w:p>
      <w:pPr>
        <w:pStyle w:val="ListParagraph"/>
        <w:numPr>
          <w:ilvl w:val="0"/>
          <w:numId w:val="1"/>
        </w:numPr>
        <w:spacing w:after="60" w:line="245"/>
      </w:pPr>
      <w:r>
        <w:rPr>
          <w:rFonts w:ascii="Calibri" w:cs="Calibri" w:eastAsia="Calibri" w:hAnsi="Calibri"/>
          <w:sz w:val="17"/>
          <w:szCs w:val="17"/>
        </w:rPr>
        <w:t xml:space="preserve">KBK-MIR-MP-PRO-MET-SOP-0041 Titrasi Asam Sulfat volume per volume for purity and SOP-0042 weight per volume,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w:t>
      </w:r>
    </w:p>
    <w:p>
      <w:pPr>
        <w:pStyle w:val="ListParagraph"/>
        <w:numPr>
          <w:ilvl w:val="0"/>
          <w:numId w:val="1"/>
        </w:numPr>
        <w:spacing w:after="60" w:line="245"/>
      </w:pPr>
      <w:r>
        <w:rPr>
          <w:rFonts w:ascii="Calibri" w:cs="Calibri" w:eastAsia="Calibri" w:hAnsi="Calibri"/>
          <w:sz w:val="17"/>
          <w:szCs w:val="17"/>
        </w:rPr>
        <w:t xml:space="preserve">ILS quotation Q0023979 - HI902C with ISE channel</w:t>
      </w:r>
    </w:p>
    <w:p>
      <w:pPr>
        <w:pStyle w:val="ListParagraph"/>
        <w:numPr>
          <w:ilvl w:val="0"/>
          <w:numId w:val="1"/>
        </w:numPr>
        <w:spacing w:after="60" w:line="245"/>
      </w:pPr>
      <w:r>
        <w:rPr>
          <w:rFonts w:ascii="Calibri" w:cs="Calibri" w:eastAsia="Calibri" w:hAnsi="Calibri"/>
          <w:sz w:val="17"/>
          <w:szCs w:val="17"/>
        </w:rPr>
        <w:t xml:space="preserve">KBK titration method set</w:t>
      </w:r>
    </w:p>
    <w:p>
      <w:pPr>
        <w:pStyle w:val="ListParagraph"/>
        <w:numPr>
          <w:ilvl w:val="0"/>
          <w:numId w:val="1"/>
        </w:numPr>
        <w:spacing w:after="60" w:line="245"/>
      </w:pPr>
      <w:r>
        <w:rPr>
          <w:rFonts w:ascii="Calibri" w:cs="Calibri" w:eastAsia="Calibri" w:hAnsi="Calibri"/>
          <w:sz w:val="17"/>
          <w:szCs w:val="17"/>
        </w:rPr>
        <w:t xml:space="preserve">KBK-MIR-MP-PRO-OPE-SOP-0024 Uji Kandungan Kapur</w:t>
      </w:r>
    </w:p>
    <w:p>
      <w:pPr>
        <w:pStyle w:val="ListParagraph"/>
        <w:numPr>
          <w:ilvl w:val="0"/>
          <w:numId w:val="1"/>
        </w:numPr>
        <w:spacing w:after="60" w:line="245"/>
      </w:pPr>
      <w:r>
        <w:rPr>
          <w:rFonts w:ascii="Calibri" w:cs="Calibri" w:eastAsia="Calibri" w:hAnsi="Calibri"/>
          <w:sz w:val="17"/>
          <w:szCs w:val="17"/>
        </w:rPr>
        <w:t xml:space="preserve">4034-046-VE-019 Transmin quicklime slaking plant functional description, received 11 Aug 2026</w:t>
      </w:r>
    </w:p>
    <w:p>
      <w:pPr>
        <w:pStyle w:val="ListParagraph"/>
        <w:numPr>
          <w:ilvl w:val="0"/>
          <w:numId w:val="1"/>
        </w:numPr>
        <w:spacing w:after="60" w:line="245"/>
      </w:pPr>
      <w:r>
        <w:rPr>
          <w:rFonts w:ascii="Calibri" w:cs="Calibri" w:eastAsia="Calibri" w:hAnsi="Calibri"/>
          <w:sz w:val="17"/>
          <w:szCs w:val="17"/>
        </w:rPr>
        <w:t xml:space="preserve">KBK-MIR-MP-PRO-OPE-SOP-0002 Uji Penambahan Kapur</w:t>
      </w:r>
    </w:p>
    <w:p>
      <w:pPr>
        <w:pStyle w:val="ListParagraph"/>
        <w:numPr>
          <w:ilvl w:val="0"/>
          <w:numId w:val="1"/>
        </w:numPr>
        <w:spacing w:after="60" w:line="245"/>
      </w:pPr>
      <w:r>
        <w:rPr>
          <w:rFonts w:ascii="Calibri" w:cs="Calibri" w:eastAsia="Calibri" w:hAnsi="Calibri"/>
          <w:sz w:val="17"/>
          <w:szCs w:val="17"/>
        </w:rPr>
        <w:t xml:space="preserve">KBK-MIR-MP-PRO-OPE-SOP-0003 Uji Pelindian Menggunakan Bottle Roll</w:t>
      </w:r>
    </w:p>
    <w:p>
      <w:pPr>
        <w:pStyle w:val="ListParagraph"/>
        <w:numPr>
          <w:ilvl w:val="0"/>
          <w:numId w:val="1"/>
        </w:numPr>
        <w:spacing w:after="60" w:line="245"/>
      </w:pPr>
      <w:r>
        <w:rPr>
          <w:rFonts w:ascii="Calibri" w:cs="Calibri" w:eastAsia="Calibri" w:hAnsi="Calibri"/>
          <w:sz w:val="17"/>
          <w:szCs w:val="17"/>
        </w:rPr>
        <w:t xml:space="preserve">ILS quotation Q0023979 - Bottle Roller MkII 12-place with guarding</w:t>
      </w:r>
    </w:p>
    <w:p>
      <w:pPr>
        <w:pStyle w:val="ListParagraph"/>
        <w:numPr>
          <w:ilvl w:val="0"/>
          <w:numId w:val="1"/>
        </w:numPr>
        <w:spacing w:after="60" w:line="245"/>
      </w:pPr>
      <w:r>
        <w:rPr>
          <w:rFonts w:ascii="Calibri" w:cs="Calibri" w:eastAsia="Calibri" w:hAnsi="Calibri"/>
          <w:sz w:val="17"/>
          <w:szCs w:val="17"/>
        </w:rPr>
        <w:t xml:space="preserve">KBK-MIR-MP-PRO-OPE-SOP-0011 Extended Leaching Untuk Leach dan CIL Tail</w:t>
      </w:r>
    </w:p>
    <w:p>
      <w:pPr>
        <w:pStyle w:val="ListParagraph"/>
        <w:numPr>
          <w:ilvl w:val="0"/>
          <w:numId w:val="1"/>
        </w:numPr>
        <w:spacing w:after="60" w:line="245"/>
      </w:pPr>
      <w:r>
        <w:rPr>
          <w:rFonts w:ascii="Calibri" w:cs="Calibri" w:eastAsia="Calibri" w:hAnsi="Calibri"/>
          <w:sz w:val="17"/>
          <w:szCs w:val="17"/>
        </w:rPr>
        <w:t xml:space="preserve">KBK-MIR-MP-PRO-MET-SOP-0038 Uji Tail Diagnostik Menggunakan Leachwell, received 11 Aug 2026</w:t>
      </w:r>
    </w:p>
    <w:p>
      <w:pPr>
        <w:pStyle w:val="ListParagraph"/>
        <w:numPr>
          <w:ilvl w:val="0"/>
          <w:numId w:val="1"/>
        </w:numPr>
        <w:spacing w:after="60" w:line="245"/>
      </w:pPr>
      <w:r>
        <w:rPr>
          <w:rFonts w:ascii="Calibri" w:cs="Calibri" w:eastAsia="Calibri" w:hAnsi="Calibri"/>
          <w:sz w:val="17"/>
          <w:szCs w:val="17"/>
        </w:rPr>
        <w:t xml:space="preserve">KBK-MIR-MP-PRO-OPE-SOP-0021 CIL Testwork Sequential Triple Contact</w:t>
      </w:r>
    </w:p>
    <w:p>
      <w:pPr>
        <w:pStyle w:val="ListParagraph"/>
        <w:numPr>
          <w:ilvl w:val="0"/>
          <w:numId w:val="1"/>
        </w:numPr>
        <w:spacing w:after="60" w:line="245"/>
      </w:pPr>
      <w:r>
        <w:rPr>
          <w:rFonts w:ascii="Calibri" w:cs="Calibri" w:eastAsia="Calibri" w:hAnsi="Calibri"/>
          <w:sz w:val="17"/>
          <w:szCs w:val="17"/>
        </w:rPr>
        <w:t xml:space="preserve">KBK-MIR-MP-PRO-OPE-SOP-0007 Pengujian Kapasitas Adsorpsi Karbon</w:t>
      </w:r>
    </w:p>
    <w:p>
      <w:pPr>
        <w:pStyle w:val="ListParagraph"/>
        <w:numPr>
          <w:ilvl w:val="0"/>
          <w:numId w:val="1"/>
        </w:numPr>
        <w:spacing w:after="60" w:line="245"/>
      </w:pPr>
      <w:r>
        <w:rPr>
          <w:rFonts w:ascii="Calibri" w:cs="Calibri" w:eastAsia="Calibri" w:hAnsi="Calibri"/>
          <w:sz w:val="17"/>
          <w:szCs w:val="17"/>
        </w:rPr>
        <w:t xml:space="preserve">KBK-MIR-MP-PRO-MET-SOP-0018 Uji Ekuilibrium Karbon, received 11 Aug 2026 - the equilibrium and isotherm half</w:t>
      </w:r>
    </w:p>
    <w:p>
      <w:pPr>
        <w:pStyle w:val="ListParagraph"/>
        <w:numPr>
          <w:ilvl w:val="0"/>
          <w:numId w:val="1"/>
        </w:numPr>
        <w:spacing w:after="60" w:line="245"/>
      </w:pPr>
      <w:r>
        <w:rPr>
          <w:rFonts w:ascii="Calibri" w:cs="Calibri" w:eastAsia="Calibri" w:hAnsi="Calibri"/>
          <w:sz w:val="17"/>
          <w:szCs w:val="17"/>
        </w:rPr>
        <w:t xml:space="preserve">KBK-MIR-MP-PRO-OPE-SOP-0005 Uji Kekerasan Ball-Pan Karbon Aktif</w:t>
      </w:r>
    </w:p>
    <w:p>
      <w:pPr>
        <w:pStyle w:val="ListParagraph"/>
        <w:numPr>
          <w:ilvl w:val="0"/>
          <w:numId w:val="1"/>
        </w:numPr>
        <w:spacing w:after="60" w:line="245"/>
      </w:pPr>
      <w:r>
        <w:rPr>
          <w:rFonts w:ascii="Calibri" w:cs="Calibri" w:eastAsia="Calibri" w:hAnsi="Calibri"/>
          <w:sz w:val="17"/>
          <w:szCs w:val="17"/>
        </w:rPr>
        <w:t xml:space="preserve">KBK-MIR-MP-PRO-MET-SOP-0026 Uji Aktifitas Karbon Dengan K[Ag(CN)2], received 11 Aug 2026 - the activity half, which SOP-0005 does not cover</w:t>
      </w:r>
    </w:p>
    <w:p>
      <w:pPr>
        <w:pStyle w:val="ListParagraph"/>
        <w:numPr>
          <w:ilvl w:val="0"/>
          <w:numId w:val="1"/>
        </w:numPr>
        <w:spacing w:after="60" w:line="245"/>
      </w:pPr>
      <w:r>
        <w:rPr>
          <w:rFonts w:ascii="Calibri" w:cs="Calibri" w:eastAsia="Calibri" w:hAnsi="Calibri"/>
          <w:sz w:val="17"/>
          <w:szCs w:val="17"/>
        </w:rPr>
        <w:t xml:space="preserve">KBK SOP-PROC-CNREC-01 and -12, received 11 Aug 2026 - operating loading and conditioning practice</w:t>
      </w:r>
    </w:p>
    <w:p>
      <w:pPr>
        <w:pStyle w:val="ListParagraph"/>
        <w:numPr>
          <w:ilvl w:val="0"/>
          <w:numId w:val="1"/>
        </w:numPr>
        <w:spacing w:after="60" w:line="245"/>
      </w:pPr>
      <w:r>
        <w:rPr>
          <w:rFonts w:ascii="Calibri" w:cs="Calibri" w:eastAsia="Calibri" w:hAnsi="Calibri"/>
          <w:sz w:val="17"/>
          <w:szCs w:val="17"/>
        </w:rPr>
        <w:t xml:space="preserve">No Goldquip resin performance data held</w:t>
      </w:r>
    </w:p>
    <w:p>
      <w:pPr>
        <w:pStyle w:val="ListParagraph"/>
        <w:numPr>
          <w:ilvl w:val="0"/>
          <w:numId w:val="1"/>
        </w:numPr>
        <w:spacing w:after="60" w:line="245"/>
      </w:pPr>
      <w:r>
        <w:rPr>
          <w:rFonts w:ascii="Calibri" w:cs="Calibri" w:eastAsia="Calibri" w:hAnsi="Calibri"/>
          <w:sz w:val="17"/>
          <w:szCs w:val="17"/>
        </w:rPr>
        <w:t xml:space="preserve">KBK SOP-PROC-CNREC-02 Cyanide elution and CNREC-05 Metal elution, received 11 Aug 2026 - operating elution conditions from a working plant, usable as the test target</w:t>
      </w:r>
    </w:p>
    <w:p>
      <w:pPr>
        <w:pStyle w:val="ListParagraph"/>
        <w:numPr>
          <w:ilvl w:val="0"/>
          <w:numId w:val="1"/>
        </w:numPr>
        <w:spacing w:after="60" w:line="245"/>
      </w:pPr>
      <w:r>
        <w:rPr>
          <w:rFonts w:ascii="Calibri" w:cs="Calibri" w:eastAsia="Calibri" w:hAnsi="Calibri"/>
          <w:sz w:val="17"/>
          <w:szCs w:val="17"/>
        </w:rPr>
        <w:t xml:space="preserve">No Goldquip resin elution performance data held</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ILS quotation Q0023979 - 38 um to 2 mm sieve set and Ro-Tap RX29</w:t>
      </w:r>
    </w:p>
    <w:p>
      <w:pPr>
        <w:pStyle w:val="ListParagraph"/>
        <w:numPr>
          <w:ilvl w:val="0"/>
          <w:numId w:val="1"/>
        </w:numPr>
        <w:spacing w:after="60" w:line="245"/>
      </w:pPr>
      <w:r>
        <w:rPr>
          <w:rFonts w:ascii="Calibri" w:cs="Calibri" w:eastAsia="Calibri" w:hAnsi="Calibri"/>
          <w:sz w:val="17"/>
          <w:szCs w:val="17"/>
        </w:rPr>
        <w:t xml:space="preserve">RA-01 Resin Loss Register Rev A</w:t>
      </w:r>
    </w:p>
    <w:p>
      <w:pPr>
        <w:pStyle w:val="ListParagraph"/>
        <w:numPr>
          <w:ilvl w:val="0"/>
          <w:numId w:val="1"/>
        </w:numPr>
        <w:spacing w:after="60" w:line="245"/>
      </w:pPr>
      <w:r>
        <w:rPr>
          <w:rFonts w:ascii="Calibri" w:cs="Calibri" w:eastAsia="Calibri" w:hAnsi="Calibri"/>
          <w:sz w:val="17"/>
          <w:szCs w:val="17"/>
        </w:rPr>
        <w:t xml:space="preserve">OR-07 Back-up Detox definition memo - the decision is open</w:t>
      </w:r>
    </w:p>
    <w:p>
      <w:pPr>
        <w:pStyle w:val="ListParagraph"/>
        <w:numPr>
          <w:ilvl w:val="0"/>
          <w:numId w:val="1"/>
        </w:numPr>
        <w:spacing w:after="60" w:line="245"/>
      </w:pPr>
      <w:r>
        <w:rPr>
          <w:rFonts w:ascii="Calibri" w:cs="Calibri" w:eastAsia="Calibri" w:hAnsi="Calibri"/>
          <w:sz w:val="17"/>
          <w:szCs w:val="17"/>
        </w:rPr>
        <w:t xml:space="preserve">KBK-MIR-MP-PRO-OPE-SOP-0001 Platelet Content</w:t>
      </w:r>
    </w:p>
    <w:p>
      <w:pPr>
        <w:pStyle w:val="ListParagraph"/>
        <w:numPr>
          <w:ilvl w:val="0"/>
          <w:numId w:val="1"/>
        </w:numPr>
        <w:spacing w:after="60" w:line="245"/>
      </w:pPr>
      <w:r>
        <w:rPr>
          <w:rFonts w:ascii="Calibri" w:cs="Calibri" w:eastAsia="Calibri" w:hAnsi="Calibri"/>
          <w:sz w:val="17"/>
          <w:szCs w:val="17"/>
        </w:rPr>
        <w:t xml:space="preserve">KBK-MIR-LAB-WET-SOP-043, -044 and -045 standard solutions</w:t>
      </w:r>
    </w:p>
    <w:p>
      <w:pPr>
        <w:pStyle w:val="ListParagraph"/>
        <w:numPr>
          <w:ilvl w:val="0"/>
          <w:numId w:val="1"/>
        </w:numPr>
        <w:spacing w:after="60" w:line="245"/>
      </w:pPr>
      <w:r>
        <w:rPr>
          <w:rFonts w:ascii="Calibri" w:cs="Calibri" w:eastAsia="Calibri" w:hAnsi="Calibri"/>
          <w:sz w:val="17"/>
          <w:szCs w:val="17"/>
        </w:rPr>
        <w:t xml:space="preserve">KBK-MIR-MP-PRO-MET-SOP-0043 AgNO3 0.01 M standard, SOP-0050 phenolphthalein indicator, SOP-0051 rhodanine indicator, SOP-0052 10 per cent sulfamic acid and SOP-0053 potassium chloride for the cyanide analyser - all received 11 Aug 2026</w:t>
      </w:r>
    </w:p>
    <w:p>
      <w:pPr>
        <w:pStyle w:val="ListParagraph"/>
        <w:numPr>
          <w:ilvl w:val="0"/>
          <w:numId w:val="1"/>
        </w:numPr>
        <w:spacing w:after="60" w:line="245"/>
      </w:pPr>
      <w:r>
        <w:rPr>
          <w:rFonts w:ascii="Calibri" w:cs="Calibri" w:eastAsia="Calibri" w:hAnsi="Calibri"/>
          <w:sz w:val="17"/>
          <w:szCs w:val="17"/>
        </w:rPr>
        <w:t xml:space="preserve">ILS quotation Q0023979 - Class F1 weight set 10 mg to 200 g and GR-200 0.1 mg balance</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 with ISE</w:t>
      </w:r>
    </w:p>
    <w:p>
      <w:pPr>
        <w:pStyle w:val="ListParagraph"/>
        <w:numPr>
          <w:ilvl w:val="0"/>
          <w:numId w:val="1"/>
        </w:numPr>
        <w:spacing w:after="60" w:line="245"/>
      </w:pPr>
      <w:r>
        <w:rPr>
          <w:rFonts w:ascii="Calibri" w:cs="Calibri" w:eastAsia="Calibri" w:hAnsi="Calibri"/>
          <w:sz w:val="17"/>
          <w:szCs w:val="17"/>
        </w:rPr>
        <w:t xml:space="preserve">KBK-MIR-MP-PRO-MET-SOP-0025, -0037, -0039, -0040, -0041, -0042 and -0043 - the seven titration methods to port, all received 11 Aug 2026</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KBK-MIR-MP-PRO-MET-SOP-0043 AgNO3 standard, received 11 Aug 2026</w:t>
      </w:r>
    </w:p>
    <w:p>
      <w:pPr>
        <w:pStyle w:val="ListParagraph"/>
        <w:numPr>
          <w:ilvl w:val="0"/>
          <w:numId w:val="1"/>
        </w:numPr>
        <w:spacing w:after="60" w:line="245"/>
      </w:pPr>
      <w:r>
        <w:rPr>
          <w:rFonts w:ascii="Calibri" w:cs="Calibri" w:eastAsia="Calibri" w:hAnsi="Calibri"/>
          <w:sz w:val="17"/>
          <w:szCs w:val="17"/>
        </w:rPr>
        <w:t xml:space="preserve">ILS quotation Q0023979</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SWI-PRO-MET-205-011 is the work instruction for JSEA-PRO-MET-205-011.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205</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19</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7</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3</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HM-PRC-VXX-PRO209  ·  Metallurgical Laboratory Chemical and Leach Testwork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