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0" w:line="250"/>
      </w:pPr>
      <w:r>
        <w:rPr>
          <w:rFonts w:ascii="Calibri" w:cs="Calibri" w:eastAsia="Calibri" w:hAnsi="Calibri"/>
          <w:b/>
          <w:bCs/>
          <w:color w:val="1F3864"/>
          <w:sz w:val="19"/>
          <w:szCs w:val="19"/>
        </w:rPr>
        <w:t xml:space="preserve">Mt. Morgan SITE PROCEDURE</w:t>
      </w:r>
    </w:p>
    <w:p>
      <w:pPr>
        <w:pBdr>
          <w:bottom w:val="single" w:sz="8" w:space="4" w:color="1F3864"/>
        </w:pBdr>
        <w:spacing w:after="80" w:before="0" w:line="300"/>
      </w:pPr>
      <w:r>
        <w:rPr>
          <w:rFonts w:ascii="Calibri" w:cs="Calibri" w:eastAsia="Calibri" w:hAnsi="Calibri"/>
          <w:b/>
          <w:bCs/>
          <w:color w:val="1F3864"/>
          <w:sz w:val="32"/>
          <w:szCs w:val="32"/>
        </w:rPr>
        <w:t xml:space="preserve">Automatic Sampling and Online Analyser Operation</w:t>
      </w:r>
    </w:p>
    <w:p>
      <w:pPr>
        <w:spacing w:after="140" w:before="0" w:line="245"/>
      </w:pPr>
      <w:r>
        <w:rPr>
          <w:rFonts w:ascii="Calibri" w:cs="Calibri" w:eastAsia="Calibri" w:hAnsi="Calibri"/>
          <w:color w:val="555555"/>
          <w:sz w:val="17"/>
          <w:szCs w:val="17"/>
        </w:rPr>
        <w:t xml:space="preserve">Standard Work Procedure  ·  Heritage Minerals  ·  Mt. Morgan Processing Plant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c>
          <w:tcPr>
            <w:tcW w:type="dxa" w:w="22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Document number</w:t>
            </w:r>
          </w:p>
        </w:tc>
        <w:tc>
          <w:tcPr>
            <w:tcW w:type="dxa" w:w="6826"/>
            <w:tcMar>
              <w:top w:type="dxa" w:w="55"/>
              <w:left w:type="dxa" w:w="85"/>
              <w:bottom w:type="dxa" w:w="55"/>
              <w:right w:type="dxa" w:w="85"/>
            </w:tcMar>
          </w:tcPr>
          <w:p>
            <w:pPr>
              <w:spacing w:after="0" w:line="235"/>
            </w:pPr>
            <w:r>
              <w:rPr>
                <w:rFonts w:ascii="Calibri" w:cs="Calibri" w:eastAsia="Calibri" w:hAnsi="Calibri"/>
                <w:sz w:val="17"/>
                <w:szCs w:val="17"/>
              </w:rPr>
              <w:t xml:space="preserve">HM-PRC-VXX-PRO211</w:t>
            </w:r>
          </w:p>
        </w:tc>
      </w:tr>
      <w:tr>
        <w:tc>
          <w:tcPr>
            <w:tcW w:type="dxa" w:w="22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Title</w:t>
            </w:r>
          </w:p>
        </w:tc>
        <w:tc>
          <w:tcPr>
            <w:tcW w:type="dxa" w:w="6826"/>
            <w:tcMar>
              <w:top w:type="dxa" w:w="55"/>
              <w:left w:type="dxa" w:w="85"/>
              <w:bottom w:type="dxa" w:w="55"/>
              <w:right w:type="dxa" w:w="85"/>
            </w:tcMar>
          </w:tcPr>
          <w:p>
            <w:pPr>
              <w:spacing w:after="0" w:line="235"/>
            </w:pPr>
            <w:r>
              <w:rPr>
                <w:rFonts w:ascii="Calibri" w:cs="Calibri" w:eastAsia="Calibri" w:hAnsi="Calibri"/>
                <w:sz w:val="17"/>
                <w:szCs w:val="17"/>
              </w:rPr>
              <w:t xml:space="preserve">Automatic Sampling and Online Analyser Operation</w:t>
            </w:r>
          </w:p>
        </w:tc>
      </w:tr>
      <w:tr>
        <w:tc>
          <w:tcPr>
            <w:tcW w:type="dxa" w:w="22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Scope</w:t>
            </w:r>
          </w:p>
        </w:tc>
        <w:tc>
          <w:tcPr>
            <w:tcW w:type="dxa" w:w="6826"/>
            <w:tcMar>
              <w:top w:type="dxa" w:w="55"/>
              <w:left w:type="dxa" w:w="85"/>
              <w:bottom w:type="dxa" w:w="55"/>
              <w:right w:type="dxa" w:w="85"/>
            </w:tcMar>
          </w:tcPr>
          <w:p>
            <w:pPr>
              <w:spacing w:after="0" w:line="235"/>
            </w:pPr>
            <w:r>
              <w:rPr>
                <w:rFonts w:ascii="Calibri" w:cs="Calibri" w:eastAsia="Calibri" w:hAnsi="Calibri"/>
                <w:sz w:val="17"/>
                <w:szCs w:val="17"/>
              </w:rPr>
              <w:t xml:space="preserve">Automatic sampling and online analyser operation - the five automatic samplers, the two online cyanide analysers, their calibration, servicing and alarm response, and the bias and correlation checks that prove they are telling the truth.</w:t>
            </w:r>
          </w:p>
        </w:tc>
      </w:tr>
      <w:tr>
        <w:tc>
          <w:tcPr>
            <w:tcW w:type="dxa" w:w="22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Register area</w:t>
            </w:r>
          </w:p>
        </w:tc>
        <w:tc>
          <w:tcPr>
            <w:tcW w:type="dxa" w:w="6826"/>
            <w:tcMar>
              <w:top w:type="dxa" w:w="55"/>
              <w:left w:type="dxa" w:w="85"/>
              <w:bottom w:type="dxa" w:w="55"/>
              <w:right w:type="dxa" w:w="85"/>
            </w:tcMar>
          </w:tcPr>
          <w:p>
            <w:pPr>
              <w:spacing w:after="0" w:line="235"/>
            </w:pPr>
            <w:r>
              <w:rPr>
                <w:rFonts w:ascii="Calibri" w:cs="Calibri" w:eastAsia="Calibri" w:hAnsi="Calibri"/>
                <w:sz w:val="17"/>
                <w:szCs w:val="17"/>
              </w:rPr>
              <w:t xml:space="preserve">207 Automatic Sampling and Online Analysers, on tabs JSEA_MET and SWI-MET</w:t>
            </w:r>
          </w:p>
        </w:tc>
      </w:tr>
      <w:tr>
        <w:tc>
          <w:tcPr>
            <w:tcW w:type="dxa" w:w="22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Hazard analyses beneath</w:t>
            </w:r>
          </w:p>
        </w:tc>
        <w:tc>
          <w:tcPr>
            <w:tcW w:type="dxa" w:w="6826"/>
            <w:tcMar>
              <w:top w:type="dxa" w:w="55"/>
              <w:left w:type="dxa" w:w="85"/>
              <w:bottom w:type="dxa" w:w="55"/>
              <w:right w:type="dxa" w:w="85"/>
            </w:tcMar>
          </w:tcPr>
          <w:p>
            <w:pPr>
              <w:spacing w:after="0" w:line="235"/>
            </w:pPr>
            <w:r>
              <w:rPr>
                <w:rFonts w:ascii="Calibri" w:cs="Calibri" w:eastAsia="Calibri" w:hAnsi="Calibri"/>
                <w:sz w:val="17"/>
                <w:szCs w:val="17"/>
              </w:rPr>
              <w:t xml:space="preserve">12 (JSEA-PRO-MET-207-001 to -012)</w:t>
            </w:r>
          </w:p>
        </w:tc>
      </w:tr>
      <w:tr>
        <w:tc>
          <w:tcPr>
            <w:tcW w:type="dxa" w:w="22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Work instructions beneath</w:t>
            </w:r>
          </w:p>
        </w:tc>
        <w:tc>
          <w:tcPr>
            <w:tcW w:type="dxa" w:w="6826"/>
            <w:tcMar>
              <w:top w:type="dxa" w:w="55"/>
              <w:left w:type="dxa" w:w="85"/>
              <w:bottom w:type="dxa" w:w="55"/>
              <w:right w:type="dxa" w:w="85"/>
            </w:tcMar>
          </w:tcPr>
          <w:p>
            <w:pPr>
              <w:spacing w:after="0" w:line="235"/>
            </w:pPr>
            <w:r>
              <w:rPr>
                <w:rFonts w:ascii="Calibri" w:cs="Calibri" w:eastAsia="Calibri" w:hAnsi="Calibri"/>
                <w:sz w:val="17"/>
                <w:szCs w:val="17"/>
              </w:rPr>
              <w:t xml:space="preserve">11</w:t>
            </w:r>
          </w:p>
        </w:tc>
      </w:tr>
      <w:tr>
        <w:tc>
          <w:tcPr>
            <w:tcW w:type="dxa" w:w="22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Process owner</w:t>
            </w:r>
          </w:p>
        </w:tc>
        <w:tc>
          <w:tcPr>
            <w:tcW w:type="dxa" w:w="6826"/>
            <w:tcMar>
              <w:top w:type="dxa" w:w="55"/>
              <w:left w:type="dxa" w:w="85"/>
              <w:bottom w:type="dxa" w:w="55"/>
              <w:right w:type="dxa" w:w="85"/>
            </w:tcMar>
          </w:tcPr>
          <w:p>
            <w:pPr>
              <w:spacing w:after="0" w:line="235"/>
            </w:pPr>
            <w:r>
              <w:rPr>
                <w:rFonts w:ascii="Calibri" w:cs="Calibri" w:eastAsia="Calibri" w:hAnsi="Calibri"/>
                <w:sz w:val="17"/>
                <w:szCs w:val="17"/>
              </w:rPr>
              <w:t xml:space="preserve">Heritage Mineral Operations  ·  Business unit Mt. Morgan</w:t>
            </w:r>
          </w:p>
        </w:tc>
      </w:tr>
      <w:tr>
        <w:tc>
          <w:tcPr>
            <w:tcW w:type="dxa" w:w="22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Document owner</w:t>
            </w:r>
          </w:p>
        </w:tc>
        <w:tc>
          <w:tcPr>
            <w:tcW w:type="dxa" w:w="6826"/>
            <w:tcMar>
              <w:top w:type="dxa" w:w="55"/>
              <w:left w:type="dxa" w:w="85"/>
              <w:bottom w:type="dxa" w:w="55"/>
              <w:right w:type="dxa" w:w="85"/>
            </w:tcMar>
          </w:tcPr>
          <w:p>
            <w:pPr>
              <w:spacing w:after="0" w:line="235"/>
            </w:pPr>
            <w:r>
              <w:rPr>
                <w:rFonts w:ascii="Calibri" w:cs="Calibri" w:eastAsia="Calibri" w:hAnsi="Calibri"/>
                <w:sz w:val="17"/>
                <w:szCs w:val="17"/>
              </w:rPr>
              <w:t xml:space="preserve">Process Operations Superintendent</w:t>
            </w:r>
          </w:p>
        </w:tc>
      </w:tr>
      <w:tr>
        <w:tc>
          <w:tcPr>
            <w:tcW w:type="dxa" w:w="22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Document approver</w:t>
            </w:r>
          </w:p>
        </w:tc>
        <w:tc>
          <w:tcPr>
            <w:tcW w:type="dxa" w:w="6826"/>
            <w:tcMar>
              <w:top w:type="dxa" w:w="55"/>
              <w:left w:type="dxa" w:w="85"/>
              <w:bottom w:type="dxa" w:w="55"/>
              <w:right w:type="dxa" w:w="85"/>
            </w:tcMar>
          </w:tcPr>
          <w:p>
            <w:pPr>
              <w:spacing w:after="0" w:line="235"/>
            </w:pPr>
            <w:r>
              <w:rPr>
                <w:rFonts w:ascii="Calibri" w:cs="Calibri" w:eastAsia="Calibri" w:hAnsi="Calibri"/>
                <w:sz w:val="17"/>
                <w:szCs w:val="17"/>
              </w:rPr>
              <w:t xml:space="preserve">Process Manager</w:t>
            </w:r>
          </w:p>
        </w:tc>
      </w:tr>
      <w:tr>
        <w:tc>
          <w:tcPr>
            <w:tcW w:type="dxa" w:w="22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Revision</w:t>
            </w:r>
          </w:p>
        </w:tc>
        <w:tc>
          <w:tcPr>
            <w:tcW w:type="dxa" w:w="6826"/>
            <w:tcMar>
              <w:top w:type="dxa" w:w="55"/>
              <w:left w:type="dxa" w:w="85"/>
              <w:bottom w:type="dxa" w:w="55"/>
              <w:right w:type="dxa" w:w="85"/>
            </w:tcMar>
          </w:tcPr>
          <w:p>
            <w:pPr>
              <w:spacing w:after="0" w:line="235"/>
            </w:pPr>
            <w:r>
              <w:rPr>
                <w:rFonts w:ascii="Calibri" w:cs="Calibri" w:eastAsia="Calibri" w:hAnsi="Calibri"/>
                <w:sz w:val="17"/>
                <w:szCs w:val="17"/>
              </w:rPr>
              <w:t xml:space="preserve">Rev A</w:t>
            </w:r>
          </w:p>
        </w:tc>
      </w:tr>
      <w:tr>
        <w:tc>
          <w:tcPr>
            <w:tcW w:type="dxa" w:w="22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Date</w:t>
            </w:r>
          </w:p>
        </w:tc>
        <w:tc>
          <w:tcPr>
            <w:tcW w:type="dxa" w:w="6826"/>
            <w:tcMar>
              <w:top w:type="dxa" w:w="55"/>
              <w:left w:type="dxa" w:w="85"/>
              <w:bottom w:type="dxa" w:w="55"/>
              <w:right w:type="dxa" w:w="85"/>
            </w:tcMar>
          </w:tcPr>
          <w:p>
            <w:pPr>
              <w:spacing w:after="0" w:line="235"/>
            </w:pPr>
            <w:r>
              <w:rPr>
                <w:rFonts w:ascii="Calibri" w:cs="Calibri" w:eastAsia="Calibri" w:hAnsi="Calibri"/>
                <w:sz w:val="17"/>
                <w:szCs w:val="17"/>
              </w:rPr>
              <w:t xml:space="preserve">11 August 2026</w:t>
            </w:r>
          </w:p>
        </w:tc>
      </w:tr>
      <w:tr>
        <w:tc>
          <w:tcPr>
            <w:tcW w:type="dxa" w:w="22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Prepared by</w:t>
            </w:r>
          </w:p>
        </w:tc>
        <w:tc>
          <w:tcPr>
            <w:tcW w:type="dxa" w:w="6826"/>
            <w:tcMar>
              <w:top w:type="dxa" w:w="55"/>
              <w:left w:type="dxa" w:w="85"/>
              <w:bottom w:type="dxa" w:w="55"/>
              <w:right w:type="dxa" w:w="85"/>
            </w:tcMar>
          </w:tcPr>
          <w:p>
            <w:pPr>
              <w:spacing w:after="0" w:line="235"/>
            </w:pPr>
            <w:r>
              <w:rPr>
                <w:rFonts w:ascii="Calibri" w:cs="Calibri" w:eastAsia="Calibri" w:hAnsi="Calibri"/>
                <w:sz w:val="17"/>
                <w:szCs w:val="17"/>
              </w:rPr>
              <w:t xml:space="preserve">GGT (cost code 4034-033)</w:t>
            </w:r>
          </w:p>
        </w:tc>
      </w:tr>
      <w:tr>
        <w:tc>
          <w:tcPr>
            <w:tcW w:type="dxa" w:w="22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Reviewed by</w:t>
            </w:r>
          </w:p>
        </w:tc>
        <w:tc>
          <w:tcPr>
            <w:tcW w:type="dxa" w:w="6826"/>
            <w:tcMar>
              <w:top w:type="dxa" w:w="55"/>
              <w:left w:type="dxa" w:w="85"/>
              <w:bottom w:type="dxa" w:w="55"/>
              <w:right w:type="dxa" w:w="85"/>
            </w:tcMar>
          </w:tcPr>
          <w:p>
            <w:pPr>
              <w:spacing w:after="0" w:line="235"/>
            </w:pPr>
            <w:r>
              <w:rPr>
                <w:rFonts w:ascii="Calibri" w:cs="Calibri" w:eastAsia="Calibri" w:hAnsi="Calibri"/>
                <w:sz w:val="17"/>
                <w:szCs w:val="17"/>
              </w:rPr>
              <w:t xml:space="preserve">________________________</w:t>
            </w:r>
          </w:p>
        </w:tc>
      </w:tr>
      <w:tr>
        <w:tc>
          <w:tcPr>
            <w:tcW w:type="dxa" w:w="22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Approved by</w:t>
            </w:r>
          </w:p>
        </w:tc>
        <w:tc>
          <w:tcPr>
            <w:tcW w:type="dxa" w:w="6826"/>
            <w:tcMar>
              <w:top w:type="dxa" w:w="55"/>
              <w:left w:type="dxa" w:w="85"/>
              <w:bottom w:type="dxa" w:w="55"/>
              <w:right w:type="dxa" w:w="85"/>
            </w:tcMar>
          </w:tcPr>
          <w:p>
            <w:pPr>
              <w:spacing w:after="0" w:line="235"/>
            </w:pPr>
            <w:r>
              <w:rPr>
                <w:rFonts w:ascii="Calibri" w:cs="Calibri" w:eastAsia="Calibri" w:hAnsi="Calibri"/>
                <w:sz w:val="17"/>
                <w:szCs w:val="17"/>
              </w:rPr>
              <w:t xml:space="preserve">________________________</w:t>
            </w:r>
          </w:p>
        </w:tc>
      </w:tr>
    </w:tbl>
    <w:p>
      <w:pPr>
        <w:spacing w:after="100" w:before="0" w:line="245"/>
      </w:pPr>
    </w:p>
    <w:p>
      <w:pPr>
        <w:pStyle w:val="Heading1"/>
        <w:spacing w:after="120" w:before="260"/>
      </w:pPr>
      <w:r>
        <w:rPr>
          <w:rFonts w:ascii="Calibri" w:cs="Calibri" w:eastAsia="Calibri" w:hAnsi="Calibri"/>
          <w:b/>
          <w:bCs/>
          <w:color w:val="1F3864"/>
          <w:sz w:val="24"/>
          <w:szCs w:val="24"/>
        </w:rPr>
        <w:t xml:space="preserve">1  PURPOSE / SCOPE</w:t>
      </w:r>
    </w:p>
    <w:p>
      <w:pPr>
        <w:spacing w:after="60" w:before="0" w:line="245"/>
      </w:pPr>
      <w:r>
        <w:rPr>
          <w:rFonts w:ascii="Calibri" w:cs="Calibri" w:eastAsia="Calibri" w:hAnsi="Calibri"/>
          <w:sz w:val="17"/>
          <w:szCs w:val="17"/>
        </w:rPr>
        <w:t xml:space="preserve">This procedure covers automatic sampling and online analyser operation at the Mt. Morgan processing plant. It is the procedure that the 12 hazard analyses and 11 work instructions in register area 207 sit under.</w:t>
      </w:r>
    </w:p>
    <w:p>
      <w:pPr>
        <w:spacing w:after="60" w:before="0" w:line="245"/>
      </w:pPr>
      <w:r>
        <w:rPr>
          <w:rFonts w:ascii="Calibri" w:cs="Calibri" w:eastAsia="Calibri" w:hAnsi="Calibri"/>
          <w:sz w:val="17"/>
          <w:szCs w:val="17"/>
        </w:rPr>
        <w:t xml:space="preserve">Automatic sampling and online analyser operation - the five automatic samplers, the two online cyanide analysers, their calibration, servicing and alarm response, and the bias and correlation checks that prove they are telling the truth.</w:t>
      </w:r>
    </w:p>
    <w:p>
      <w:pPr>
        <w:pStyle w:val="Heading1"/>
        <w:spacing w:after="120" w:before="260"/>
      </w:pPr>
      <w:r>
        <w:rPr>
          <w:rFonts w:ascii="Calibri" w:cs="Calibri" w:eastAsia="Calibri" w:hAnsi="Calibri"/>
          <w:b/>
          <w:bCs/>
          <w:color w:val="1F3864"/>
          <w:sz w:val="24"/>
          <w:szCs w:val="24"/>
        </w:rPr>
        <w:t xml:space="preserve">2  RESPONSIBILITIES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rPr>
          <w:tblHeader/>
        </w:trPr>
        <w:tc>
          <w:tcPr>
            <w:tcW w:type="dxa" w:w="26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Role</w:t>
            </w:r>
          </w:p>
        </w:tc>
        <w:tc>
          <w:tcPr>
            <w:tcW w:type="dxa" w:w="6426"/>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Responsibilities</w:t>
            </w:r>
          </w:p>
        </w:tc>
      </w:tr>
      <w:tr>
        <w:tc>
          <w:tcPr>
            <w:tcW w:type="dxa" w:w="2600"/>
            <w:tcMar>
              <w:top w:type="dxa" w:w="55"/>
              <w:left w:type="dxa" w:w="85"/>
              <w:bottom w:type="dxa" w:w="55"/>
              <w:right w:type="dxa" w:w="85"/>
            </w:tcMar>
          </w:tcPr>
          <w:p>
            <w:pPr>
              <w:spacing w:after="0" w:line="235"/>
            </w:pPr>
            <w:r>
              <w:rPr>
                <w:rFonts w:ascii="Calibri" w:cs="Calibri" w:eastAsia="Calibri" w:hAnsi="Calibri"/>
                <w:sz w:val="16"/>
                <w:szCs w:val="16"/>
              </w:rPr>
              <w:t xml:space="preserve">Operator / Metallurgical Technician / Met Lab Technician</w:t>
            </w:r>
          </w:p>
        </w:tc>
        <w:tc>
          <w:tcPr>
            <w:tcW w:type="dxa" w:w="6426"/>
            <w:tcMar>
              <w:top w:type="dxa" w:w="55"/>
              <w:left w:type="dxa" w:w="85"/>
              <w:bottom w:type="dxa" w:w="55"/>
              <w:right w:type="dxa" w:w="85"/>
            </w:tcMar>
          </w:tcPr>
          <w:p>
            <w:pPr>
              <w:spacing w:after="30" w:line="235"/>
            </w:pPr>
            <w:r>
              <w:rPr>
                <w:rFonts w:ascii="Calibri" w:cs="Calibri" w:eastAsia="Calibri" w:hAnsi="Calibri"/>
                <w:sz w:val="16"/>
                <w:szCs w:val="16"/>
              </w:rPr>
              <w:t xml:space="preserve">Carry out the task to the schedule and to the work instruction.</w:t>
            </w:r>
          </w:p>
          <w:p>
            <w:pPr>
              <w:spacing w:after="30" w:line="235"/>
            </w:pPr>
            <w:r>
              <w:rPr>
                <w:rFonts w:ascii="Calibri" w:cs="Calibri" w:eastAsia="Calibri" w:hAnsi="Calibri"/>
                <w:sz w:val="16"/>
                <w:szCs w:val="16"/>
              </w:rPr>
              <w:t xml:space="preserve">Only carry out work where competent and authorised to do so.</w:t>
            </w:r>
          </w:p>
          <w:p>
            <w:pPr>
              <w:spacing w:after="30" w:line="235"/>
            </w:pPr>
            <w:r>
              <w:rPr>
                <w:rFonts w:ascii="Calibri" w:cs="Calibri" w:eastAsia="Calibri" w:hAnsi="Calibri"/>
                <w:sz w:val="16"/>
                <w:szCs w:val="16"/>
              </w:rPr>
              <w:t xml:space="preserve">Record what was actually done. Work not done is recorded as not done - never invented and never back-filled.</w:t>
            </w:r>
          </w:p>
          <w:p>
            <w:pPr>
              <w:spacing w:after="0" w:line="235"/>
            </w:pPr>
            <w:r>
              <w:rPr>
                <w:rFonts w:ascii="Calibri" w:cs="Calibri" w:eastAsia="Calibri" w:hAnsi="Calibri"/>
                <w:sz w:val="16"/>
                <w:szCs w:val="16"/>
              </w:rPr>
              <w:t xml:space="preserve">Stop and report if any control in the JSEA is not in place.</w:t>
            </w:r>
          </w:p>
        </w:tc>
      </w:tr>
      <w:tr>
        <w:tc>
          <w:tcPr>
            <w:tcW w:type="dxa" w:w="26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Shift Supervisor / Coordinator</w:t>
            </w:r>
          </w:p>
        </w:tc>
        <w:tc>
          <w:tcPr>
            <w:tcW w:type="dxa" w:w="6426"/>
            <w:shd w:val="clear" w:color="auto" w:fill="F2F5FA"/>
            <w:tcMar>
              <w:top w:type="dxa" w:w="55"/>
              <w:left w:type="dxa" w:w="85"/>
              <w:bottom w:type="dxa" w:w="55"/>
              <w:right w:type="dxa" w:w="85"/>
            </w:tcMar>
          </w:tcPr>
          <w:p>
            <w:pPr>
              <w:spacing w:after="30" w:line="235"/>
            </w:pPr>
            <w:r>
              <w:rPr>
                <w:rFonts w:ascii="Calibri" w:cs="Calibri" w:eastAsia="Calibri" w:hAnsi="Calibri"/>
                <w:sz w:val="16"/>
                <w:szCs w:val="16"/>
              </w:rPr>
              <w:t xml:space="preserve">Authorise the task and confirm the area is fit before it starts.</w:t>
            </w:r>
          </w:p>
          <w:p>
            <w:pPr>
              <w:spacing w:after="30" w:line="235"/>
            </w:pPr>
            <w:r>
              <w:rPr>
                <w:rFonts w:ascii="Calibri" w:cs="Calibri" w:eastAsia="Calibri" w:hAnsi="Calibri"/>
                <w:sz w:val="16"/>
                <w:szCs w:val="16"/>
              </w:rPr>
              <w:t xml:space="preserve">Know that the task is in progress and where the person is.</w:t>
            </w:r>
          </w:p>
          <w:p>
            <w:pPr>
              <w:spacing w:after="30" w:line="235"/>
            </w:pPr>
            <w:r>
              <w:rPr>
                <w:rFonts w:ascii="Calibri" w:cs="Calibri" w:eastAsia="Calibri" w:hAnsi="Calibri"/>
                <w:sz w:val="16"/>
                <w:szCs w:val="16"/>
              </w:rPr>
              <w:t xml:space="preserve">Understand that much of the plant is automated and equipment may start or stop without warning.</w:t>
            </w:r>
          </w:p>
          <w:p>
            <w:pPr>
              <w:spacing w:after="0" w:line="235"/>
            </w:pPr>
            <w:r>
              <w:rPr>
                <w:rFonts w:ascii="Calibri" w:cs="Calibri" w:eastAsia="Calibri" w:hAnsi="Calibri"/>
                <w:sz w:val="16"/>
                <w:szCs w:val="16"/>
              </w:rPr>
              <w:t xml:space="preserve">Act on any off-specification result reported from the task.</w:t>
            </w:r>
          </w:p>
        </w:tc>
      </w:tr>
      <w:tr>
        <w:tc>
          <w:tcPr>
            <w:tcW w:type="dxa" w:w="2600"/>
            <w:tcMar>
              <w:top w:type="dxa" w:w="55"/>
              <w:left w:type="dxa" w:w="85"/>
              <w:bottom w:type="dxa" w:w="55"/>
              <w:right w:type="dxa" w:w="85"/>
            </w:tcMar>
          </w:tcPr>
          <w:p>
            <w:pPr>
              <w:spacing w:after="0" w:line="235"/>
            </w:pPr>
            <w:r>
              <w:rPr>
                <w:rFonts w:ascii="Calibri" w:cs="Calibri" w:eastAsia="Calibri" w:hAnsi="Calibri"/>
                <w:sz w:val="16"/>
                <w:szCs w:val="16"/>
              </w:rPr>
              <w:t xml:space="preserve">Metallurgist</w:t>
            </w:r>
          </w:p>
        </w:tc>
        <w:tc>
          <w:tcPr>
            <w:tcW w:type="dxa" w:w="6426"/>
            <w:tcMar>
              <w:top w:type="dxa" w:w="55"/>
              <w:left w:type="dxa" w:w="85"/>
              <w:bottom w:type="dxa" w:w="55"/>
              <w:right w:type="dxa" w:w="85"/>
            </w:tcMar>
          </w:tcPr>
          <w:p>
            <w:pPr>
              <w:spacing w:after="30" w:line="235"/>
            </w:pPr>
            <w:r>
              <w:rPr>
                <w:rFonts w:ascii="Calibri" w:cs="Calibri" w:eastAsia="Calibri" w:hAnsi="Calibri"/>
                <w:sz w:val="16"/>
                <w:szCs w:val="16"/>
              </w:rPr>
              <w:t xml:space="preserve">Set and maintain the schedule - what is done, how often, and what is reported.</w:t>
            </w:r>
          </w:p>
          <w:p>
            <w:pPr>
              <w:spacing w:after="30" w:line="235"/>
            </w:pPr>
            <w:r>
              <w:rPr>
                <w:rFonts w:ascii="Calibri" w:cs="Calibri" w:eastAsia="Calibri" w:hAnsi="Calibri"/>
                <w:sz w:val="16"/>
                <w:szCs w:val="16"/>
              </w:rPr>
              <w:t xml:space="preserve">Review the results and act on the trends.</w:t>
            </w:r>
          </w:p>
          <w:p>
            <w:pPr>
              <w:spacing w:after="0" w:line="235"/>
            </w:pPr>
            <w:r>
              <w:rPr>
                <w:rFonts w:ascii="Calibri" w:cs="Calibri" w:eastAsia="Calibri" w:hAnsi="Calibri"/>
                <w:sz w:val="16"/>
                <w:szCs w:val="16"/>
              </w:rPr>
              <w:t xml:space="preserve">Investigate any variance outside the agreed tolerance before a period is closed.</w:t>
            </w:r>
          </w:p>
        </w:tc>
      </w:tr>
      <w:tr>
        <w:tc>
          <w:tcPr>
            <w:tcW w:type="dxa" w:w="26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Process Manager / Superintendent</w:t>
            </w:r>
          </w:p>
        </w:tc>
        <w:tc>
          <w:tcPr>
            <w:tcW w:type="dxa" w:w="6426"/>
            <w:shd w:val="clear" w:color="auto" w:fill="F2F5FA"/>
            <w:tcMar>
              <w:top w:type="dxa" w:w="55"/>
              <w:left w:type="dxa" w:w="85"/>
              <w:bottom w:type="dxa" w:w="55"/>
              <w:right w:type="dxa" w:w="85"/>
            </w:tcMar>
          </w:tcPr>
          <w:p>
            <w:pPr>
              <w:spacing w:after="30" w:line="235"/>
            </w:pPr>
            <w:r>
              <w:rPr>
                <w:rFonts w:ascii="Calibri" w:cs="Calibri" w:eastAsia="Calibri" w:hAnsi="Calibri"/>
                <w:sz w:val="16"/>
                <w:szCs w:val="16"/>
              </w:rPr>
              <w:t xml:space="preserve">Ensure all personnel are trained and competent.</w:t>
            </w:r>
          </w:p>
          <w:p>
            <w:pPr>
              <w:spacing w:after="30" w:line="235"/>
            </w:pPr>
            <w:r>
              <w:rPr>
                <w:rFonts w:ascii="Calibri" w:cs="Calibri" w:eastAsia="Calibri" w:hAnsi="Calibri"/>
                <w:sz w:val="16"/>
                <w:szCs w:val="16"/>
              </w:rPr>
              <w:t xml:space="preserve">Ensure this procedure and the documents beneath it are reviewed at the stated interval.</w:t>
            </w:r>
          </w:p>
          <w:p>
            <w:pPr>
              <w:spacing w:after="0" w:line="235"/>
            </w:pPr>
            <w:r>
              <w:rPr>
                <w:rFonts w:ascii="Calibri" w:cs="Calibri" w:eastAsia="Calibri" w:hAnsi="Calibri"/>
                <w:sz w:val="16"/>
                <w:szCs w:val="16"/>
              </w:rPr>
              <w:t xml:space="preserve">Approve the risk ranking in the JSEAs.</w:t>
            </w:r>
          </w:p>
        </w:tc>
      </w:tr>
    </w:tbl>
    <w:p>
      <w:pPr>
        <w:spacing w:after="60" w:before="0" w:line="245"/>
      </w:pPr>
    </w:p>
    <w:p>
      <w:pPr>
        <w:pStyle w:val="Heading1"/>
        <w:spacing w:after="120" w:before="260"/>
      </w:pPr>
      <w:r>
        <w:rPr>
          <w:rFonts w:ascii="Calibri" w:cs="Calibri" w:eastAsia="Calibri" w:hAnsi="Calibri"/>
          <w:b/>
          <w:bCs/>
          <w:color w:val="1F3864"/>
          <w:sz w:val="24"/>
          <w:szCs w:val="24"/>
        </w:rPr>
        <w:t xml:space="preserve">3  ABBREVIATIONS / DEFINITIONS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rPr>
          <w:tblHeader/>
        </w:trPr>
        <w:tc>
          <w:tcPr>
            <w:tcW w:type="dxa" w:w="22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Term</w:t>
            </w:r>
          </w:p>
        </w:tc>
        <w:tc>
          <w:tcPr>
            <w:tcW w:type="dxa" w:w="6826"/>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Meaning</w:t>
            </w:r>
          </w:p>
        </w:tc>
      </w:tr>
      <w:tr>
        <w:tc>
          <w:tcPr>
            <w:tcW w:type="dxa" w:w="2200"/>
            <w:tcMar>
              <w:top w:type="dxa" w:w="55"/>
              <w:left w:type="dxa" w:w="85"/>
              <w:bottom w:type="dxa" w:w="55"/>
              <w:right w:type="dxa" w:w="85"/>
            </w:tcMar>
          </w:tcPr>
          <w:p>
            <w:pPr>
              <w:spacing w:after="0" w:line="235"/>
            </w:pPr>
            <w:r>
              <w:rPr>
                <w:rFonts w:ascii="Calibri" w:cs="Calibri" w:eastAsia="Calibri" w:hAnsi="Calibri"/>
                <w:sz w:val="16"/>
                <w:szCs w:val="16"/>
              </w:rPr>
              <w:t xml:space="preserve">JSEA</w:t>
            </w:r>
          </w:p>
        </w:tc>
        <w:tc>
          <w:tcPr>
            <w:tcW w:type="dxa" w:w="6826"/>
            <w:tcMar>
              <w:top w:type="dxa" w:w="55"/>
              <w:left w:type="dxa" w:w="85"/>
              <w:bottom w:type="dxa" w:w="55"/>
              <w:right w:type="dxa" w:w="85"/>
            </w:tcMar>
          </w:tcPr>
          <w:p>
            <w:pPr>
              <w:spacing w:after="0" w:line="235"/>
            </w:pPr>
            <w:r>
              <w:rPr>
                <w:rFonts w:ascii="Calibri" w:cs="Calibri" w:eastAsia="Calibri" w:hAnsi="Calibri"/>
                <w:sz w:val="16"/>
                <w:szCs w:val="16"/>
              </w:rPr>
              <w:t xml:space="preserve">Job safety and environmental analysis - one per task, giving the step-by-step hazards, controls and risk ranking.</w:t>
            </w:r>
          </w:p>
        </w:tc>
      </w:tr>
      <w:tr>
        <w:tc>
          <w:tcPr>
            <w:tcW w:type="dxa" w:w="22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SWI</w:t>
            </w:r>
          </w:p>
        </w:tc>
        <w:tc>
          <w:tcPr>
            <w:tcW w:type="dxa" w:w="6826"/>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Standard work instruction - one per task, giving the step-by-step method.</w:t>
            </w:r>
          </w:p>
        </w:tc>
      </w:tr>
      <w:tr>
        <w:tc>
          <w:tcPr>
            <w:tcW w:type="dxa" w:w="2200"/>
            <w:tcMar>
              <w:top w:type="dxa" w:w="55"/>
              <w:left w:type="dxa" w:w="85"/>
              <w:bottom w:type="dxa" w:w="55"/>
              <w:right w:type="dxa" w:w="85"/>
            </w:tcMar>
          </w:tcPr>
          <w:p>
            <w:pPr>
              <w:spacing w:after="0" w:line="235"/>
            </w:pPr>
            <w:r>
              <w:rPr>
                <w:rFonts w:ascii="Calibri" w:cs="Calibri" w:eastAsia="Calibri" w:hAnsi="Calibri"/>
                <w:sz w:val="16"/>
                <w:szCs w:val="16"/>
              </w:rPr>
              <w:t xml:space="preserve">SWP</w:t>
            </w:r>
          </w:p>
        </w:tc>
        <w:tc>
          <w:tcPr>
            <w:tcW w:type="dxa" w:w="6826"/>
            <w:tcMar>
              <w:top w:type="dxa" w:w="55"/>
              <w:left w:type="dxa" w:w="85"/>
              <w:bottom w:type="dxa" w:w="55"/>
              <w:right w:type="dxa" w:w="85"/>
            </w:tcMar>
          </w:tcPr>
          <w:p>
            <w:pPr>
              <w:spacing w:after="0" w:line="235"/>
            </w:pPr>
            <w:r>
              <w:rPr>
                <w:rFonts w:ascii="Calibri" w:cs="Calibri" w:eastAsia="Calibri" w:hAnsi="Calibri"/>
                <w:sz w:val="16"/>
                <w:szCs w:val="16"/>
              </w:rPr>
              <w:t xml:space="preserve">Standard work procedure - this document.</w:t>
            </w:r>
          </w:p>
        </w:tc>
      </w:tr>
      <w:tr>
        <w:tc>
          <w:tcPr>
            <w:tcW w:type="dxa" w:w="22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Steady state</w:t>
            </w:r>
          </w:p>
        </w:tc>
        <w:tc>
          <w:tcPr>
            <w:tcW w:type="dxa" w:w="6826"/>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Normal operation held for at least 15 to 20 minutes.</w:t>
            </w:r>
          </w:p>
        </w:tc>
      </w:tr>
      <w:tr>
        <w:tc>
          <w:tcPr>
            <w:tcW w:type="dxa" w:w="2200"/>
            <w:tcMar>
              <w:top w:type="dxa" w:w="55"/>
              <w:left w:type="dxa" w:w="85"/>
              <w:bottom w:type="dxa" w:w="55"/>
              <w:right w:type="dxa" w:w="85"/>
            </w:tcMar>
          </w:tcPr>
          <w:p>
            <w:pPr>
              <w:spacing w:after="0" w:line="235"/>
            </w:pPr>
            <w:r>
              <w:rPr>
                <w:rFonts w:ascii="Calibri" w:cs="Calibri" w:eastAsia="Calibri" w:hAnsi="Calibri"/>
                <w:sz w:val="16"/>
                <w:szCs w:val="16"/>
              </w:rPr>
              <w:t xml:space="preserve">ReCYN</w:t>
            </w:r>
          </w:p>
        </w:tc>
        <w:tc>
          <w:tcPr>
            <w:tcW w:type="dxa" w:w="6826"/>
            <w:tcMar>
              <w:top w:type="dxa" w:w="55"/>
              <w:left w:type="dxa" w:w="85"/>
              <w:bottom w:type="dxa" w:w="55"/>
              <w:right w:type="dxa" w:w="85"/>
            </w:tcMar>
          </w:tcPr>
          <w:p>
            <w:pPr>
              <w:spacing w:after="0" w:line="235"/>
            </w:pPr>
            <w:r>
              <w:rPr>
                <w:rFonts w:ascii="Calibri" w:cs="Calibri" w:eastAsia="Calibri" w:hAnsi="Calibri"/>
                <w:sz w:val="16"/>
                <w:szCs w:val="16"/>
              </w:rPr>
              <w:t xml:space="preserve">The resin-in-pulp cyanide and metal recovery process in Areas 041, 051, 071 and 081.</w:t>
            </w:r>
          </w:p>
        </w:tc>
      </w:tr>
      <w:tr>
        <w:tc>
          <w:tcPr>
            <w:tcW w:type="dxa" w:w="22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CN Free / WAD CN</w:t>
            </w:r>
          </w:p>
        </w:tc>
        <w:tc>
          <w:tcPr>
            <w:tcW w:type="dxa" w:w="6826"/>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Free cyanide by silver nitrate titration; weak acid dissociable cyanide by distillation.</w:t>
            </w:r>
          </w:p>
        </w:tc>
      </w:tr>
    </w:tbl>
    <w:p>
      <w:pPr>
        <w:spacing w:after="60" w:before="0" w:line="245"/>
      </w:pPr>
    </w:p>
    <w:p>
      <w:pPr>
        <w:pStyle w:val="Heading1"/>
        <w:spacing w:after="120" w:before="260"/>
      </w:pPr>
      <w:r>
        <w:rPr>
          <w:rFonts w:ascii="Calibri" w:cs="Calibri" w:eastAsia="Calibri" w:hAnsi="Calibri"/>
          <w:b/>
          <w:bCs/>
          <w:color w:val="1F3864"/>
          <w:sz w:val="24"/>
          <w:szCs w:val="24"/>
        </w:rPr>
        <w:t xml:space="preserve">4  POTENTIAL HAZARDS</w:t>
      </w:r>
    </w:p>
    <w:p>
      <w:pPr>
        <w:spacing w:after="60" w:before="0" w:line="245"/>
      </w:pPr>
      <w:r>
        <w:rPr>
          <w:rFonts w:ascii="Calibri" w:cs="Calibri" w:eastAsia="Calibri" w:hAnsi="Calibri"/>
          <w:sz w:val="17"/>
          <w:szCs w:val="17"/>
        </w:rPr>
        <w:t xml:space="preserve">The step-by-step hazard analysis for each task, with the risk ranking, is in the JSEA for that task. The hazards common across this area are:</w:t>
      </w:r>
    </w:p>
    <w:p>
      <w:pPr>
        <w:pStyle w:val="ListParagraph"/>
        <w:numPr>
          <w:ilvl w:val="0"/>
          <w:numId w:val="1"/>
        </w:numPr>
        <w:spacing w:after="60" w:line="245"/>
      </w:pPr>
      <w:r>
        <w:rPr>
          <w:rFonts w:ascii="Calibri" w:cs="Calibri" w:eastAsia="Calibri" w:hAnsi="Calibri"/>
          <w:sz w:val="17"/>
          <w:szCs w:val="17"/>
        </w:rPr>
        <w:t xml:space="preserve">Hydrogen cyanide gas released at the open sample point</w:t>
      </w:r>
    </w:p>
    <w:p>
      <w:pPr>
        <w:pStyle w:val="ListParagraph"/>
        <w:numPr>
          <w:ilvl w:val="0"/>
          <w:numId w:val="1"/>
        </w:numPr>
        <w:spacing w:after="60" w:line="245"/>
      </w:pPr>
      <w:r>
        <w:rPr>
          <w:rFonts w:ascii="Calibri" w:cs="Calibri" w:eastAsia="Calibri" w:hAnsi="Calibri"/>
          <w:sz w:val="17"/>
          <w:szCs w:val="17"/>
        </w:rPr>
        <w:t xml:space="preserve">Splash of cyanide-bearing slurry or solution to skin or eyes</w:t>
      </w:r>
    </w:p>
    <w:p>
      <w:pPr>
        <w:pStyle w:val="ListParagraph"/>
        <w:numPr>
          <w:ilvl w:val="0"/>
          <w:numId w:val="1"/>
        </w:numPr>
        <w:spacing w:after="60" w:line="245"/>
      </w:pPr>
      <w:r>
        <w:rPr>
          <w:rFonts w:ascii="Calibri" w:cs="Calibri" w:eastAsia="Calibri" w:hAnsi="Calibri"/>
          <w:sz w:val="17"/>
          <w:szCs w:val="17"/>
        </w:rPr>
        <w:t xml:space="preserve">Contact with an agitator, sample cutter, pump or screen that starts without warning</w:t>
      </w:r>
    </w:p>
    <w:p>
      <w:pPr>
        <w:pStyle w:val="ListParagraph"/>
        <w:numPr>
          <w:ilvl w:val="0"/>
          <w:numId w:val="1"/>
        </w:numPr>
        <w:spacing w:after="60" w:line="245"/>
      </w:pPr>
      <w:r>
        <w:rPr>
          <w:rFonts w:ascii="Calibri" w:cs="Calibri" w:eastAsia="Calibri" w:hAnsi="Calibri"/>
          <w:sz w:val="17"/>
          <w:szCs w:val="17"/>
        </w:rPr>
        <w:t xml:space="preserve">Contact with live electrical equipment at a sample pump, cutter or local control station</w:t>
      </w:r>
    </w:p>
    <w:p>
      <w:pPr>
        <w:pStyle w:val="ListParagraph"/>
        <w:numPr>
          <w:ilvl w:val="0"/>
          <w:numId w:val="1"/>
        </w:numPr>
        <w:spacing w:after="60" w:line="245"/>
      </w:pPr>
      <w:r>
        <w:rPr>
          <w:rFonts w:ascii="Calibri" w:cs="Calibri" w:eastAsia="Calibri" w:hAnsi="Calibri"/>
          <w:sz w:val="17"/>
          <w:szCs w:val="17"/>
        </w:rPr>
        <w:t xml:space="preserve">Non-representative sample leading to a wrong process decision</w:t>
      </w:r>
    </w:p>
    <w:p>
      <w:pPr>
        <w:pStyle w:val="ListParagraph"/>
        <w:numPr>
          <w:ilvl w:val="0"/>
          <w:numId w:val="1"/>
        </w:numPr>
        <w:spacing w:after="60" w:line="245"/>
      </w:pPr>
      <w:r>
        <w:rPr>
          <w:rFonts w:ascii="Calibri" w:cs="Calibri" w:eastAsia="Calibri" w:hAnsi="Calibri"/>
          <w:sz w:val="17"/>
          <w:szCs w:val="17"/>
        </w:rPr>
        <w:t xml:space="preserve">Release from a pressurised sample line, hose or fitting</w:t>
      </w:r>
    </w:p>
    <w:p>
      <w:pPr>
        <w:pStyle w:val="ListParagraph"/>
        <w:numPr>
          <w:ilvl w:val="0"/>
          <w:numId w:val="1"/>
        </w:numPr>
        <w:spacing w:after="60" w:line="245"/>
      </w:pPr>
      <w:r>
        <w:rPr>
          <w:rFonts w:ascii="Calibri" w:cs="Calibri" w:eastAsia="Calibri" w:hAnsi="Calibri"/>
          <w:sz w:val="17"/>
          <w:szCs w:val="17"/>
        </w:rPr>
        <w:t xml:space="preserve">Fall from a tank top, launder platform, column platform or access ladder</w:t>
      </w:r>
    </w:p>
    <w:p>
      <w:pPr>
        <w:pStyle w:val="ListParagraph"/>
        <w:numPr>
          <w:ilvl w:val="0"/>
          <w:numId w:val="1"/>
        </w:numPr>
        <w:spacing w:after="60" w:line="245"/>
      </w:pPr>
      <w:r>
        <w:rPr>
          <w:rFonts w:ascii="Calibri" w:cs="Calibri" w:eastAsia="Calibri" w:hAnsi="Calibri"/>
          <w:sz w:val="17"/>
          <w:szCs w:val="17"/>
        </w:rPr>
        <w:t xml:space="preserve">Cross-contamination from a container or cutter not cleaned between points</w:t>
      </w:r>
    </w:p>
    <w:p>
      <w:pPr>
        <w:pStyle w:val="ListParagraph"/>
        <w:numPr>
          <w:ilvl w:val="0"/>
          <w:numId w:val="1"/>
        </w:numPr>
        <w:spacing w:after="60" w:line="245"/>
      </w:pPr>
      <w:r>
        <w:rPr>
          <w:rFonts w:ascii="Calibri" w:cs="Calibri" w:eastAsia="Calibri" w:hAnsi="Calibri"/>
          <w:sz w:val="17"/>
          <w:szCs w:val="17"/>
        </w:rPr>
        <w:t xml:space="preserve">Inhalation of acid fume or reagent vapour at the bench</w:t>
      </w:r>
    </w:p>
    <w:p>
      <w:pPr>
        <w:pStyle w:val="ListParagraph"/>
        <w:numPr>
          <w:ilvl w:val="0"/>
          <w:numId w:val="1"/>
        </w:numPr>
        <w:spacing w:after="60" w:line="245"/>
      </w:pPr>
      <w:r>
        <w:rPr>
          <w:rFonts w:ascii="Calibri" w:cs="Calibri" w:eastAsia="Calibri" w:hAnsi="Calibri"/>
          <w:sz w:val="17"/>
          <w:szCs w:val="17"/>
        </w:rPr>
        <w:t xml:space="preserve">Cuts from broken glassware, and burns from hot glassware</w:t>
      </w:r>
    </w:p>
    <w:p>
      <w:pPr>
        <w:pStyle w:val="ListParagraph"/>
        <w:numPr>
          <w:ilvl w:val="0"/>
          <w:numId w:val="1"/>
        </w:numPr>
        <w:spacing w:after="60" w:line="245"/>
      </w:pPr>
      <w:r>
        <w:rPr>
          <w:rFonts w:ascii="Calibri" w:cs="Calibri" w:eastAsia="Calibri" w:hAnsi="Calibri"/>
          <w:sz w:val="17"/>
          <w:szCs w:val="17"/>
        </w:rPr>
        <w:t xml:space="preserve">Confined space atmosphere at a tank top hatch, launder or hopper opening</w:t>
      </w:r>
    </w:p>
    <w:p>
      <w:pPr>
        <w:pStyle w:val="Heading1"/>
        <w:spacing w:after="120" w:before="260"/>
      </w:pPr>
      <w:r>
        <w:rPr>
          <w:rFonts w:ascii="Calibri" w:cs="Calibri" w:eastAsia="Calibri" w:hAnsi="Calibri"/>
          <w:b/>
          <w:bCs/>
          <w:color w:val="1F3864"/>
          <w:sz w:val="24"/>
          <w:szCs w:val="24"/>
        </w:rPr>
        <w:t xml:space="preserve">5  PPE</w:t>
      </w:r>
    </w:p>
    <w:p>
      <w:pPr>
        <w:spacing w:after="60" w:before="0" w:line="245"/>
      </w:pPr>
      <w:r>
        <w:rPr>
          <w:rFonts w:ascii="Calibri" w:cs="Calibri" w:eastAsia="Calibri" w:hAnsi="Calibri"/>
          <w:sz w:val="17"/>
          <w:szCs w:val="17"/>
        </w:rPr>
        <w:t xml:space="preserve">Standard PPE is worn for all normal operations: hard hat, safety glasses, high-visibility long-sleeved shirt and long trousers, safety boots, and gloves appropriate to the task.</w:t>
      </w:r>
    </w:p>
    <w:p>
      <w:pPr>
        <w:spacing w:after="60" w:before="0" w:line="245"/>
      </w:pPr>
      <w:r>
        <w:rPr>
          <w:rFonts w:ascii="Calibri" w:cs="Calibri" w:eastAsia="Calibri" w:hAnsi="Calibri"/>
          <w:sz w:val="17"/>
          <w:szCs w:val="17"/>
        </w:rPr>
        <w:t xml:space="preserve">The following is added where the task requires it:</w:t>
      </w:r>
    </w:p>
    <w:p>
      <w:pPr>
        <w:pStyle w:val="ListParagraph"/>
        <w:numPr>
          <w:ilvl w:val="0"/>
          <w:numId w:val="1"/>
        </w:numPr>
        <w:spacing w:after="60" w:line="245"/>
      </w:pPr>
      <w:r>
        <w:rPr>
          <w:rFonts w:ascii="Calibri" w:cs="Calibri" w:eastAsia="Calibri" w:hAnsi="Calibri"/>
          <w:sz w:val="17"/>
          <w:szCs w:val="17"/>
        </w:rPr>
        <w:t xml:space="preserve">Personal HCN gas monitor, calibrated and in test date</w:t>
      </w:r>
    </w:p>
    <w:p>
      <w:pPr>
        <w:pStyle w:val="ListParagraph"/>
        <w:numPr>
          <w:ilvl w:val="0"/>
          <w:numId w:val="1"/>
        </w:numPr>
        <w:spacing w:after="60" w:line="245"/>
      </w:pPr>
      <w:r>
        <w:rPr>
          <w:rFonts w:ascii="Calibri" w:cs="Calibri" w:eastAsia="Calibri" w:hAnsi="Calibri"/>
          <w:sz w:val="17"/>
          <w:szCs w:val="17"/>
        </w:rPr>
        <w:t xml:space="preserve">Chemical splash goggles and face shield</w:t>
      </w:r>
    </w:p>
    <w:p>
      <w:pPr>
        <w:pStyle w:val="ListParagraph"/>
        <w:numPr>
          <w:ilvl w:val="0"/>
          <w:numId w:val="1"/>
        </w:numPr>
        <w:spacing w:after="60" w:line="245"/>
      </w:pPr>
      <w:r>
        <w:rPr>
          <w:rFonts w:ascii="Calibri" w:cs="Calibri" w:eastAsia="Calibri" w:hAnsi="Calibri"/>
          <w:sz w:val="17"/>
          <w:szCs w:val="17"/>
        </w:rPr>
        <w:t xml:space="preserve">Nitrile rubber gloves</w:t>
      </w:r>
    </w:p>
    <w:p>
      <w:pPr>
        <w:pStyle w:val="ListParagraph"/>
        <w:numPr>
          <w:ilvl w:val="0"/>
          <w:numId w:val="1"/>
        </w:numPr>
        <w:spacing w:after="60" w:line="245"/>
      </w:pPr>
      <w:r>
        <w:rPr>
          <w:rFonts w:ascii="Calibri" w:cs="Calibri" w:eastAsia="Calibri" w:hAnsi="Calibri"/>
          <w:sz w:val="17"/>
          <w:szCs w:val="17"/>
        </w:rPr>
        <w:t xml:space="preserve">Nitrile PVC boots</w:t>
      </w:r>
    </w:p>
    <w:p>
      <w:pPr>
        <w:pStyle w:val="ListParagraph"/>
        <w:numPr>
          <w:ilvl w:val="0"/>
          <w:numId w:val="1"/>
        </w:numPr>
        <w:spacing w:after="60" w:line="245"/>
      </w:pPr>
      <w:r>
        <w:rPr>
          <w:rFonts w:ascii="Calibri" w:cs="Calibri" w:eastAsia="Calibri" w:hAnsi="Calibri"/>
          <w:sz w:val="17"/>
          <w:szCs w:val="17"/>
        </w:rPr>
        <w:t xml:space="preserve">Chemical resistant suit</w:t>
      </w:r>
    </w:p>
    <w:p>
      <w:pPr>
        <w:pStyle w:val="ListParagraph"/>
        <w:numPr>
          <w:ilvl w:val="0"/>
          <w:numId w:val="1"/>
        </w:numPr>
        <w:spacing w:after="60" w:line="245"/>
      </w:pPr>
      <w:r>
        <w:rPr>
          <w:rFonts w:ascii="Calibri" w:cs="Calibri" w:eastAsia="Calibri" w:hAnsi="Calibri"/>
          <w:sz w:val="17"/>
          <w:szCs w:val="17"/>
        </w:rPr>
        <w:t xml:space="preserve">Full or half gas mask with A2B2E2K2P3 cartridge, carried and available for immediate use</w:t>
      </w:r>
    </w:p>
    <w:p>
      <w:pPr>
        <w:pStyle w:val="ListParagraph"/>
        <w:numPr>
          <w:ilvl w:val="0"/>
          <w:numId w:val="1"/>
        </w:numPr>
        <w:spacing w:after="60" w:line="245"/>
      </w:pPr>
      <w:r>
        <w:rPr>
          <w:rFonts w:ascii="Calibri" w:cs="Calibri" w:eastAsia="Calibri" w:hAnsi="Calibri"/>
          <w:sz w:val="17"/>
          <w:szCs w:val="17"/>
        </w:rPr>
        <w:t xml:space="preserve">Harness and fall arrest where no fixed platform exists</w:t>
      </w:r>
    </w:p>
    <w:p>
      <w:pPr>
        <w:pStyle w:val="Heading1"/>
        <w:spacing w:after="120" w:before="260"/>
      </w:pPr>
      <w:r>
        <w:rPr>
          <w:rFonts w:ascii="Calibri" w:cs="Calibri" w:eastAsia="Calibri" w:hAnsi="Calibri"/>
          <w:b/>
          <w:bCs/>
          <w:color w:val="1F3864"/>
          <w:sz w:val="24"/>
          <w:szCs w:val="24"/>
        </w:rPr>
        <w:t xml:space="preserve">6  PROCEDURE</w:t>
      </w:r>
    </w:p>
    <w:p>
      <w:pPr>
        <w:spacing w:after="90" w:before="180" w:line="245"/>
        <w:keepNext/>
      </w:pPr>
      <w:r>
        <w:rPr>
          <w:rFonts w:ascii="Calibri" w:cs="Calibri" w:eastAsia="Calibri" w:hAnsi="Calibri"/>
          <w:b/>
          <w:bCs/>
          <w:color w:val="1F3864"/>
          <w:sz w:val="19"/>
          <w:szCs w:val="19"/>
        </w:rPr>
        <w:t xml:space="preserve">6.1  Introduction</w:t>
      </w:r>
    </w:p>
    <w:p>
      <w:pPr>
        <w:spacing w:after="60" w:before="0" w:line="245"/>
      </w:pPr>
      <w:r>
        <w:rPr>
          <w:rFonts w:ascii="Calibri" w:cs="Calibri" w:eastAsia="Calibri" w:hAnsi="Calibri"/>
          <w:b/>
          <w:bCs/>
          <w:sz w:val="17"/>
          <w:szCs w:val="17"/>
        </w:rPr>
        <w:t xml:space="preserve">Warning: many operations on the gold processing plant are automated and equipment may start or stop without warning. It is the operator's responsibility to ensure the safety of all personnel working on the plant at all times.</w:t>
      </w:r>
    </w:p>
    <w:p>
      <w:pPr>
        <w:spacing w:after="90" w:before="180" w:line="245"/>
        <w:keepNext/>
      </w:pPr>
      <w:r>
        <w:rPr>
          <w:rFonts w:ascii="Calibri" w:cs="Calibri" w:eastAsia="Calibri" w:hAnsi="Calibri"/>
          <w:b/>
          <w:bCs/>
          <w:color w:val="1F3864"/>
          <w:sz w:val="19"/>
          <w:szCs w:val="19"/>
        </w:rPr>
        <w:t xml:space="preserve">6.2  Procedure and implementation steps</w:t>
      </w:r>
    </w:p>
    <w:p>
      <w:pPr>
        <w:spacing w:after="60" w:before="0" w:line="245"/>
      </w:pPr>
      <w:r>
        <w:rPr>
          <w:rFonts w:ascii="Calibri" w:cs="Calibri" w:eastAsia="Calibri" w:hAnsi="Calibri"/>
          <w:sz w:val="17"/>
          <w:szCs w:val="17"/>
        </w:rPr>
        <w:t xml:space="preserve">The documents below are the controlled method for each task. This procedure does not repeat them.</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50"/>
        <w:gridCol w:w="1850"/>
        <w:gridCol w:w="4026"/>
        <w:gridCol w:w="1300"/>
      </w:tblGrid>
      <w:tr>
        <w:trPr>
          <w:tblHeader/>
        </w:trPr>
        <w:tc>
          <w:tcPr>
            <w:tcW w:type="dxa" w:w="185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5"/>
                <w:szCs w:val="15"/>
              </w:rPr>
              <w:t xml:space="preserve">JSEA</w:t>
            </w:r>
          </w:p>
        </w:tc>
        <w:tc>
          <w:tcPr>
            <w:tcW w:type="dxa" w:w="185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5"/>
                <w:szCs w:val="15"/>
              </w:rPr>
              <w:t xml:space="preserve">Work instruction</w:t>
            </w:r>
          </w:p>
        </w:tc>
        <w:tc>
          <w:tcPr>
            <w:tcW w:type="dxa" w:w="4026"/>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5"/>
                <w:szCs w:val="15"/>
              </w:rPr>
              <w:t xml:space="preserve">Task</w:t>
            </w:r>
          </w:p>
        </w:tc>
        <w:tc>
          <w:tcPr>
            <w:tcW w:type="dxa" w:w="13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5"/>
                <w:szCs w:val="15"/>
              </w:rPr>
              <w:t xml:space="preserve">Class</w:t>
            </w:r>
          </w:p>
        </w:tc>
      </w:tr>
      <w:tr>
        <w:tc>
          <w:tcPr>
            <w:tcW w:type="dxa" w:w="1850"/>
            <w:tcMar>
              <w:top w:type="dxa" w:w="55"/>
              <w:left w:type="dxa" w:w="85"/>
              <w:bottom w:type="dxa" w:w="55"/>
              <w:right w:type="dxa" w:w="85"/>
            </w:tcMar>
          </w:tcPr>
          <w:p>
            <w:pPr>
              <w:spacing w:after="0" w:line="235"/>
            </w:pPr>
            <w:r>
              <w:rPr>
                <w:rFonts w:ascii="Calibri" w:cs="Calibri" w:eastAsia="Calibri" w:hAnsi="Calibri"/>
                <w:sz w:val="15"/>
                <w:szCs w:val="15"/>
              </w:rPr>
              <w:t xml:space="preserve">JSEA-PRO-MET-207-001</w:t>
            </w:r>
          </w:p>
        </w:tc>
        <w:tc>
          <w:tcPr>
            <w:tcW w:type="dxa" w:w="1850"/>
            <w:tcMar>
              <w:top w:type="dxa" w:w="55"/>
              <w:left w:type="dxa" w:w="85"/>
              <w:bottom w:type="dxa" w:w="55"/>
              <w:right w:type="dxa" w:w="85"/>
            </w:tcMar>
          </w:tcPr>
          <w:p>
            <w:pPr>
              <w:spacing w:after="0" w:line="235"/>
            </w:pPr>
            <w:r>
              <w:rPr>
                <w:rFonts w:ascii="Calibri" w:cs="Calibri" w:eastAsia="Calibri" w:hAnsi="Calibri"/>
                <w:sz w:val="15"/>
                <w:szCs w:val="15"/>
              </w:rPr>
              <w:t xml:space="preserve">SWI-PRO-MET-207-001</w:t>
            </w:r>
          </w:p>
        </w:tc>
        <w:tc>
          <w:tcPr>
            <w:tcW w:type="dxa" w:w="4026"/>
            <w:tcMar>
              <w:top w:type="dxa" w:w="55"/>
              <w:left w:type="dxa" w:w="85"/>
              <w:bottom w:type="dxa" w:w="55"/>
              <w:right w:type="dxa" w:w="85"/>
            </w:tcMar>
          </w:tcPr>
          <w:p>
            <w:pPr>
              <w:spacing w:after="0" w:line="235"/>
            </w:pPr>
            <w:r>
              <w:rPr>
                <w:rFonts w:ascii="Calibri" w:cs="Calibri" w:eastAsia="Calibri" w:hAnsi="Calibri"/>
                <w:sz w:val="15"/>
                <w:szCs w:val="15"/>
              </w:rPr>
              <w:t xml:space="preserve">Automatic Sampler Operation and Cut Verification - IsaMill Feed 022-XM-011 and 022-XM-017</w:t>
            </w:r>
          </w:p>
        </w:tc>
        <w:tc>
          <w:tcPr>
            <w:tcW w:type="dxa" w:w="1300"/>
            <w:tcMar>
              <w:top w:type="dxa" w:w="55"/>
              <w:left w:type="dxa" w:w="85"/>
              <w:bottom w:type="dxa" w:w="55"/>
              <w:right w:type="dxa" w:w="85"/>
            </w:tcMar>
          </w:tcPr>
          <w:p>
            <w:pPr>
              <w:spacing w:after="0" w:line="235"/>
            </w:pPr>
            <w:r>
              <w:rPr>
                <w:rFonts w:ascii="Calibri" w:cs="Calibri" w:eastAsia="Calibri" w:hAnsi="Calibri"/>
                <w:sz w:val="15"/>
                <w:szCs w:val="15"/>
              </w:rPr>
              <w:t xml:space="preserve">Safety-critical</w:t>
            </w:r>
          </w:p>
        </w:tc>
      </w:tr>
      <w:tr>
        <w:tc>
          <w:tcPr>
            <w:tcW w:type="dxa" w:w="185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JSEA-PRO-MET-207-002</w:t>
            </w:r>
          </w:p>
        </w:tc>
        <w:tc>
          <w:tcPr>
            <w:tcW w:type="dxa" w:w="185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SWI-PRO-MET-207-002</w:t>
            </w:r>
          </w:p>
        </w:tc>
        <w:tc>
          <w:tcPr>
            <w:tcW w:type="dxa" w:w="4026"/>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Automatic Sampler Operation and Cut Verification - CIL Tails 032-XM-012</w:t>
            </w:r>
          </w:p>
        </w:tc>
        <w:tc>
          <w:tcPr>
            <w:tcW w:type="dxa" w:w="13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Safety-critical</w:t>
            </w:r>
          </w:p>
        </w:tc>
      </w:tr>
      <w:tr>
        <w:tc>
          <w:tcPr>
            <w:tcW w:type="dxa" w:w="1850"/>
            <w:tcMar>
              <w:top w:type="dxa" w:w="55"/>
              <w:left w:type="dxa" w:w="85"/>
              <w:bottom w:type="dxa" w:w="55"/>
              <w:right w:type="dxa" w:w="85"/>
            </w:tcMar>
          </w:tcPr>
          <w:p>
            <w:pPr>
              <w:spacing w:after="0" w:line="235"/>
            </w:pPr>
            <w:r>
              <w:rPr>
                <w:rFonts w:ascii="Calibri" w:cs="Calibri" w:eastAsia="Calibri" w:hAnsi="Calibri"/>
                <w:sz w:val="15"/>
                <w:szCs w:val="15"/>
              </w:rPr>
              <w:t xml:space="preserve">JSEA-PRO-MET-207-003</w:t>
            </w:r>
          </w:p>
        </w:tc>
        <w:tc>
          <w:tcPr>
            <w:tcW w:type="dxa" w:w="1850"/>
            <w:tcMar>
              <w:top w:type="dxa" w:w="55"/>
              <w:left w:type="dxa" w:w="85"/>
              <w:bottom w:type="dxa" w:w="55"/>
              <w:right w:type="dxa" w:w="85"/>
            </w:tcMar>
          </w:tcPr>
          <w:p>
            <w:pPr>
              <w:spacing w:after="0" w:line="235"/>
            </w:pPr>
            <w:r>
              <w:rPr>
                <w:rFonts w:ascii="Calibri" w:cs="Calibri" w:eastAsia="Calibri" w:hAnsi="Calibri"/>
                <w:sz w:val="15"/>
                <w:szCs w:val="15"/>
              </w:rPr>
              <w:t xml:space="preserve">SWI-PRO-MET-207-003</w:t>
            </w:r>
          </w:p>
        </w:tc>
        <w:tc>
          <w:tcPr>
            <w:tcW w:type="dxa" w:w="4026"/>
            <w:tcMar>
              <w:top w:type="dxa" w:w="55"/>
              <w:left w:type="dxa" w:w="85"/>
              <w:bottom w:type="dxa" w:w="55"/>
              <w:right w:type="dxa" w:w="85"/>
            </w:tcMar>
          </w:tcPr>
          <w:p>
            <w:pPr>
              <w:spacing w:after="0" w:line="235"/>
            </w:pPr>
            <w:r>
              <w:rPr>
                <w:rFonts w:ascii="Calibri" w:cs="Calibri" w:eastAsia="Calibri" w:hAnsi="Calibri"/>
                <w:sz w:val="15"/>
                <w:szCs w:val="15"/>
              </w:rPr>
              <w:t xml:space="preserve">Automatic Sampler Operation and Cut Verification - Metal Adsorption Tails 041-XM-013</w:t>
            </w:r>
          </w:p>
        </w:tc>
        <w:tc>
          <w:tcPr>
            <w:tcW w:type="dxa" w:w="1300"/>
            <w:tcMar>
              <w:top w:type="dxa" w:w="55"/>
              <w:left w:type="dxa" w:w="85"/>
              <w:bottom w:type="dxa" w:w="55"/>
              <w:right w:type="dxa" w:w="85"/>
            </w:tcMar>
          </w:tcPr>
          <w:p>
            <w:pPr>
              <w:spacing w:after="0" w:line="235"/>
            </w:pPr>
            <w:r>
              <w:rPr>
                <w:rFonts w:ascii="Calibri" w:cs="Calibri" w:eastAsia="Calibri" w:hAnsi="Calibri"/>
                <w:sz w:val="15"/>
                <w:szCs w:val="15"/>
              </w:rPr>
              <w:t xml:space="preserve">Safety-critical</w:t>
            </w:r>
          </w:p>
        </w:tc>
      </w:tr>
      <w:tr>
        <w:tc>
          <w:tcPr>
            <w:tcW w:type="dxa" w:w="185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JSEA-PRO-MET-207-004</w:t>
            </w:r>
          </w:p>
        </w:tc>
        <w:tc>
          <w:tcPr>
            <w:tcW w:type="dxa" w:w="185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SWI-PRO-MET-207-004</w:t>
            </w:r>
          </w:p>
        </w:tc>
        <w:tc>
          <w:tcPr>
            <w:tcW w:type="dxa" w:w="4026"/>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Automatic Sampler Operation and Cut Verification - Final Tails 051-XM-014</w:t>
            </w:r>
          </w:p>
        </w:tc>
        <w:tc>
          <w:tcPr>
            <w:tcW w:type="dxa" w:w="13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Safety-critical</w:t>
            </w:r>
          </w:p>
        </w:tc>
      </w:tr>
      <w:tr>
        <w:tc>
          <w:tcPr>
            <w:tcW w:type="dxa" w:w="1850"/>
            <w:tcMar>
              <w:top w:type="dxa" w:w="55"/>
              <w:left w:type="dxa" w:w="85"/>
              <w:bottom w:type="dxa" w:w="55"/>
              <w:right w:type="dxa" w:w="85"/>
            </w:tcMar>
          </w:tcPr>
          <w:p>
            <w:pPr>
              <w:spacing w:after="0" w:line="235"/>
            </w:pPr>
            <w:r>
              <w:rPr>
                <w:rFonts w:ascii="Calibri" w:cs="Calibri" w:eastAsia="Calibri" w:hAnsi="Calibri"/>
                <w:sz w:val="15"/>
                <w:szCs w:val="15"/>
              </w:rPr>
              <w:t xml:space="preserve">JSEA-PRO-MET-207-005</w:t>
            </w:r>
          </w:p>
        </w:tc>
        <w:tc>
          <w:tcPr>
            <w:tcW w:type="dxa" w:w="1850"/>
            <w:tcMar>
              <w:top w:type="dxa" w:w="55"/>
              <w:left w:type="dxa" w:w="85"/>
              <w:bottom w:type="dxa" w:w="55"/>
              <w:right w:type="dxa" w:w="85"/>
            </w:tcMar>
          </w:tcPr>
          <w:p>
            <w:pPr>
              <w:spacing w:after="0" w:line="235"/>
            </w:pPr>
            <w:r>
              <w:rPr>
                <w:rFonts w:ascii="Calibri" w:cs="Calibri" w:eastAsia="Calibri" w:hAnsi="Calibri"/>
                <w:sz w:val="15"/>
                <w:szCs w:val="15"/>
              </w:rPr>
              <w:t xml:space="preserve">SWI-PRO-MET-207-005</w:t>
            </w:r>
          </w:p>
        </w:tc>
        <w:tc>
          <w:tcPr>
            <w:tcW w:type="dxa" w:w="4026"/>
            <w:tcMar>
              <w:top w:type="dxa" w:w="55"/>
              <w:left w:type="dxa" w:w="85"/>
              <w:bottom w:type="dxa" w:w="55"/>
              <w:right w:type="dxa" w:w="85"/>
            </w:tcMar>
          </w:tcPr>
          <w:p>
            <w:pPr>
              <w:spacing w:after="0" w:line="235"/>
            </w:pPr>
            <w:r>
              <w:rPr>
                <w:rFonts w:ascii="Calibri" w:cs="Calibri" w:eastAsia="Calibri" w:hAnsi="Calibri"/>
                <w:sz w:val="15"/>
                <w:szCs w:val="15"/>
              </w:rPr>
              <w:t xml:space="preserve">Automatic Sampler Cleaning, Unblocking and Cutter Wear Check</w:t>
            </w:r>
          </w:p>
        </w:tc>
        <w:tc>
          <w:tcPr>
            <w:tcW w:type="dxa" w:w="1300"/>
            <w:tcMar>
              <w:top w:type="dxa" w:w="55"/>
              <w:left w:type="dxa" w:w="85"/>
              <w:bottom w:type="dxa" w:w="55"/>
              <w:right w:type="dxa" w:w="85"/>
            </w:tcMar>
          </w:tcPr>
          <w:p>
            <w:pPr>
              <w:spacing w:after="0" w:line="235"/>
            </w:pPr>
            <w:r>
              <w:rPr>
                <w:rFonts w:ascii="Calibri" w:cs="Calibri" w:eastAsia="Calibri" w:hAnsi="Calibri"/>
                <w:sz w:val="15"/>
                <w:szCs w:val="15"/>
              </w:rPr>
              <w:t xml:space="preserve">Safety-critical</w:t>
            </w:r>
          </w:p>
        </w:tc>
      </w:tr>
      <w:tr>
        <w:tc>
          <w:tcPr>
            <w:tcW w:type="dxa" w:w="185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JSEA-PRO-MET-207-006</w:t>
            </w:r>
          </w:p>
        </w:tc>
        <w:tc>
          <w:tcPr>
            <w:tcW w:type="dxa" w:w="185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SWI-PRO-MET-207-006</w:t>
            </w:r>
          </w:p>
        </w:tc>
        <w:tc>
          <w:tcPr>
            <w:tcW w:type="dxa" w:w="4026"/>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Automatic versus Manual Sample Bias Check and Reconciliation</w:t>
            </w:r>
          </w:p>
        </w:tc>
        <w:tc>
          <w:tcPr>
            <w:tcW w:type="dxa" w:w="13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Safety-critical</w:t>
            </w:r>
          </w:p>
        </w:tc>
      </w:tr>
      <w:tr>
        <w:tc>
          <w:tcPr>
            <w:tcW w:type="dxa" w:w="1850"/>
            <w:tcMar>
              <w:top w:type="dxa" w:w="55"/>
              <w:left w:type="dxa" w:w="85"/>
              <w:bottom w:type="dxa" w:w="55"/>
              <w:right w:type="dxa" w:w="85"/>
            </w:tcMar>
          </w:tcPr>
          <w:p>
            <w:pPr>
              <w:spacing w:after="0" w:line="235"/>
            </w:pPr>
            <w:r>
              <w:rPr>
                <w:rFonts w:ascii="Calibri" w:cs="Calibri" w:eastAsia="Calibri" w:hAnsi="Calibri"/>
                <w:sz w:val="15"/>
                <w:szCs w:val="15"/>
              </w:rPr>
              <w:t xml:space="preserve">JSEA-PRO-MET-207-007</w:t>
            </w:r>
          </w:p>
        </w:tc>
        <w:tc>
          <w:tcPr>
            <w:tcW w:type="dxa" w:w="1850"/>
            <w:tcMar>
              <w:top w:type="dxa" w:w="55"/>
              <w:left w:type="dxa" w:w="85"/>
              <w:bottom w:type="dxa" w:w="55"/>
              <w:right w:type="dxa" w:w="85"/>
            </w:tcMar>
          </w:tcPr>
          <w:p>
            <w:pPr>
              <w:spacing w:after="0" w:line="235"/>
            </w:pPr>
            <w:r>
              <w:rPr>
                <w:rFonts w:ascii="Calibri" w:cs="Calibri" w:eastAsia="Calibri" w:hAnsi="Calibri"/>
                <w:sz w:val="15"/>
                <w:szCs w:val="15"/>
              </w:rPr>
              <w:t xml:space="preserve">SWI-PRO-MET-207-007</w:t>
            </w:r>
          </w:p>
        </w:tc>
        <w:tc>
          <w:tcPr>
            <w:tcW w:type="dxa" w:w="4026"/>
            <w:tcMar>
              <w:top w:type="dxa" w:w="55"/>
              <w:left w:type="dxa" w:w="85"/>
              <w:bottom w:type="dxa" w:w="55"/>
              <w:right w:type="dxa" w:w="85"/>
            </w:tcMar>
          </w:tcPr>
          <w:p>
            <w:pPr>
              <w:spacing w:after="0" w:line="235"/>
            </w:pPr>
            <w:r>
              <w:rPr>
                <w:rFonts w:ascii="Calibri" w:cs="Calibri" w:eastAsia="Calibri" w:hAnsi="Calibri"/>
                <w:sz w:val="15"/>
                <w:szCs w:val="15"/>
              </w:rPr>
              <w:t xml:space="preserve">Cyanide Analyser Daily Operation and Check - 032-CA-001 and 051-CA-002</w:t>
            </w:r>
          </w:p>
        </w:tc>
        <w:tc>
          <w:tcPr>
            <w:tcW w:type="dxa" w:w="1300"/>
            <w:tcMar>
              <w:top w:type="dxa" w:w="55"/>
              <w:left w:type="dxa" w:w="85"/>
              <w:bottom w:type="dxa" w:w="55"/>
              <w:right w:type="dxa" w:w="85"/>
            </w:tcMar>
          </w:tcPr>
          <w:p>
            <w:pPr>
              <w:spacing w:after="0" w:line="235"/>
            </w:pPr>
            <w:r>
              <w:rPr>
                <w:rFonts w:ascii="Calibri" w:cs="Calibri" w:eastAsia="Calibri" w:hAnsi="Calibri"/>
                <w:sz w:val="15"/>
                <w:szCs w:val="15"/>
              </w:rPr>
              <w:t xml:space="preserve">Safety-critical</w:t>
            </w:r>
          </w:p>
        </w:tc>
      </w:tr>
      <w:tr>
        <w:tc>
          <w:tcPr>
            <w:tcW w:type="dxa" w:w="185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JSEA-PRO-MET-207-008</w:t>
            </w:r>
          </w:p>
        </w:tc>
        <w:tc>
          <w:tcPr>
            <w:tcW w:type="dxa" w:w="185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SWI-PRO-MET-207-008</w:t>
            </w:r>
          </w:p>
        </w:tc>
        <w:tc>
          <w:tcPr>
            <w:tcW w:type="dxa" w:w="4026"/>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Cyanide Analyser Calibration and Standardisation</w:t>
            </w:r>
          </w:p>
        </w:tc>
        <w:tc>
          <w:tcPr>
            <w:tcW w:type="dxa" w:w="13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Safety-critical</w:t>
            </w:r>
          </w:p>
        </w:tc>
      </w:tr>
      <w:tr>
        <w:tc>
          <w:tcPr>
            <w:tcW w:type="dxa" w:w="1850"/>
            <w:tcMar>
              <w:top w:type="dxa" w:w="55"/>
              <w:left w:type="dxa" w:w="85"/>
              <w:bottom w:type="dxa" w:w="55"/>
              <w:right w:type="dxa" w:w="85"/>
            </w:tcMar>
          </w:tcPr>
          <w:p>
            <w:pPr>
              <w:spacing w:after="0" w:line="235"/>
            </w:pPr>
            <w:r>
              <w:rPr>
                <w:rFonts w:ascii="Calibri" w:cs="Calibri" w:eastAsia="Calibri" w:hAnsi="Calibri"/>
                <w:sz w:val="15"/>
                <w:szCs w:val="15"/>
              </w:rPr>
              <w:t xml:space="preserve">JSEA-PRO-MET-207-009</w:t>
            </w:r>
          </w:p>
        </w:tc>
        <w:tc>
          <w:tcPr>
            <w:tcW w:type="dxa" w:w="1850"/>
            <w:tcMar>
              <w:top w:type="dxa" w:w="55"/>
              <w:left w:type="dxa" w:w="85"/>
              <w:bottom w:type="dxa" w:w="55"/>
              <w:right w:type="dxa" w:w="85"/>
            </w:tcMar>
          </w:tcPr>
          <w:p>
            <w:pPr>
              <w:spacing w:after="0" w:line="235"/>
            </w:pPr>
            <w:r>
              <w:rPr>
                <w:rFonts w:ascii="Calibri" w:cs="Calibri" w:eastAsia="Calibri" w:hAnsi="Calibri"/>
                <w:sz w:val="15"/>
                <w:szCs w:val="15"/>
              </w:rPr>
              <w:t xml:space="preserve">SWI-PRO-MET-207-009</w:t>
            </w:r>
          </w:p>
        </w:tc>
        <w:tc>
          <w:tcPr>
            <w:tcW w:type="dxa" w:w="4026"/>
            <w:tcMar>
              <w:top w:type="dxa" w:w="55"/>
              <w:left w:type="dxa" w:w="85"/>
              <w:bottom w:type="dxa" w:w="55"/>
              <w:right w:type="dxa" w:w="85"/>
            </w:tcMar>
          </w:tcPr>
          <w:p>
            <w:pPr>
              <w:spacing w:after="0" w:line="235"/>
            </w:pPr>
            <w:r>
              <w:rPr>
                <w:rFonts w:ascii="Calibri" w:cs="Calibri" w:eastAsia="Calibri" w:hAnsi="Calibri"/>
                <w:sz w:val="15"/>
                <w:szCs w:val="15"/>
              </w:rPr>
              <w:t xml:space="preserve">Cyanide Analyser Specialised Electrode Replacement and Conditioning</w:t>
            </w:r>
          </w:p>
        </w:tc>
        <w:tc>
          <w:tcPr>
            <w:tcW w:type="dxa" w:w="1300"/>
            <w:tcMar>
              <w:top w:type="dxa" w:w="55"/>
              <w:left w:type="dxa" w:w="85"/>
              <w:bottom w:type="dxa" w:w="55"/>
              <w:right w:type="dxa" w:w="85"/>
            </w:tcMar>
          </w:tcPr>
          <w:p>
            <w:pPr>
              <w:spacing w:after="0" w:line="235"/>
            </w:pPr>
            <w:r>
              <w:rPr>
                <w:rFonts w:ascii="Calibri" w:cs="Calibri" w:eastAsia="Calibri" w:hAnsi="Calibri"/>
                <w:sz w:val="15"/>
                <w:szCs w:val="15"/>
              </w:rPr>
              <w:t xml:space="preserve">Safety-critical</w:t>
            </w:r>
          </w:p>
        </w:tc>
      </w:tr>
      <w:tr>
        <w:tc>
          <w:tcPr>
            <w:tcW w:type="dxa" w:w="185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JSEA-PRO-MET-207-010</w:t>
            </w:r>
          </w:p>
        </w:tc>
        <w:tc>
          <w:tcPr>
            <w:tcW w:type="dxa" w:w="185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SWI-PRO-MET-207-010</w:t>
            </w:r>
          </w:p>
        </w:tc>
        <w:tc>
          <w:tcPr>
            <w:tcW w:type="dxa" w:w="4026"/>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Cyanide Analyser Sample and Booster Pump Service - 032-PP-207/208 and 041-PP-2xx</w:t>
            </w:r>
          </w:p>
        </w:tc>
        <w:tc>
          <w:tcPr>
            <w:tcW w:type="dxa" w:w="13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Safety-critical</w:t>
            </w:r>
          </w:p>
        </w:tc>
      </w:tr>
      <w:tr>
        <w:tc>
          <w:tcPr>
            <w:tcW w:type="dxa" w:w="1850"/>
            <w:tcMar>
              <w:top w:type="dxa" w:w="55"/>
              <w:left w:type="dxa" w:w="85"/>
              <w:bottom w:type="dxa" w:w="55"/>
              <w:right w:type="dxa" w:w="85"/>
            </w:tcMar>
          </w:tcPr>
          <w:p>
            <w:pPr>
              <w:spacing w:after="0" w:line="235"/>
            </w:pPr>
            <w:r>
              <w:rPr>
                <w:rFonts w:ascii="Calibri" w:cs="Calibri" w:eastAsia="Calibri" w:hAnsi="Calibri"/>
                <w:sz w:val="15"/>
                <w:szCs w:val="15"/>
              </w:rPr>
              <w:t xml:space="preserve">JSEA-PRO-MET-207-011</w:t>
            </w:r>
          </w:p>
        </w:tc>
        <w:tc>
          <w:tcPr>
            <w:tcW w:type="dxa" w:w="1850"/>
            <w:tcMar>
              <w:top w:type="dxa" w:w="55"/>
              <w:left w:type="dxa" w:w="85"/>
              <w:bottom w:type="dxa" w:w="55"/>
              <w:right w:type="dxa" w:w="85"/>
            </w:tcMar>
          </w:tcPr>
          <w:p>
            <w:pPr>
              <w:spacing w:after="0" w:line="235"/>
            </w:pPr>
            <w:r>
              <w:rPr>
                <w:rFonts w:ascii="Calibri" w:cs="Calibri" w:eastAsia="Calibri" w:hAnsi="Calibri"/>
                <w:sz w:val="15"/>
                <w:szCs w:val="15"/>
              </w:rPr>
              <w:t xml:space="preserve">SWI-PRO-MET-207-011</w:t>
            </w:r>
          </w:p>
        </w:tc>
        <w:tc>
          <w:tcPr>
            <w:tcW w:type="dxa" w:w="4026"/>
            <w:tcMar>
              <w:top w:type="dxa" w:w="55"/>
              <w:left w:type="dxa" w:w="85"/>
              <w:bottom w:type="dxa" w:w="55"/>
              <w:right w:type="dxa" w:w="85"/>
            </w:tcMar>
          </w:tcPr>
          <w:p>
            <w:pPr>
              <w:spacing w:after="0" w:line="235"/>
            </w:pPr>
            <w:r>
              <w:rPr>
                <w:rFonts w:ascii="Calibri" w:cs="Calibri" w:eastAsia="Calibri" w:hAnsi="Calibri"/>
                <w:sz w:val="15"/>
                <w:szCs w:val="15"/>
              </w:rPr>
              <w:t xml:space="preserve">Cyanide Analyser Leak Detector and High Level Alarm Response</w:t>
            </w:r>
          </w:p>
        </w:tc>
        <w:tc>
          <w:tcPr>
            <w:tcW w:type="dxa" w:w="1300"/>
            <w:tcMar>
              <w:top w:type="dxa" w:w="55"/>
              <w:left w:type="dxa" w:w="85"/>
              <w:bottom w:type="dxa" w:w="55"/>
              <w:right w:type="dxa" w:w="85"/>
            </w:tcMar>
          </w:tcPr>
          <w:p>
            <w:pPr>
              <w:spacing w:after="0" w:line="235"/>
            </w:pPr>
            <w:r>
              <w:rPr>
                <w:rFonts w:ascii="Calibri" w:cs="Calibri" w:eastAsia="Calibri" w:hAnsi="Calibri"/>
                <w:sz w:val="15"/>
                <w:szCs w:val="15"/>
              </w:rPr>
              <w:t xml:space="preserve">Safety-critical</w:t>
            </w:r>
          </w:p>
        </w:tc>
      </w:tr>
      <w:tr>
        <w:tc>
          <w:tcPr>
            <w:tcW w:type="dxa" w:w="185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JSEA-PRO-MET-207-012</w:t>
            </w:r>
          </w:p>
        </w:tc>
        <w:tc>
          <w:tcPr>
            <w:tcW w:type="dxa" w:w="185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w:t>
            </w:r>
          </w:p>
        </w:tc>
        <w:tc>
          <w:tcPr>
            <w:tcW w:type="dxa" w:w="4026"/>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Analyser to Laboratory Correlation Check and Drift Investigation</w:t>
            </w:r>
          </w:p>
        </w:tc>
        <w:tc>
          <w:tcPr>
            <w:tcW w:type="dxa" w:w="13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Safety-critical</w:t>
            </w:r>
          </w:p>
        </w:tc>
      </w:tr>
    </w:tbl>
    <w:p>
      <w:pPr>
        <w:spacing w:after="60" w:before="0" w:line="245"/>
      </w:pPr>
    </w:p>
    <w:p>
      <w:pPr>
        <w:spacing w:after="90" w:before="180" w:line="245"/>
        <w:keepNext/>
      </w:pPr>
      <w:r>
        <w:rPr>
          <w:rFonts w:ascii="Calibri" w:cs="Calibri" w:eastAsia="Calibri" w:hAnsi="Calibri"/>
          <w:b/>
          <w:bCs/>
          <w:color w:val="1F3864"/>
          <w:sz w:val="19"/>
          <w:szCs w:val="19"/>
        </w:rPr>
        <w:t xml:space="preserve">6.3  Schedule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600"/>
        <w:gridCol w:w="4426"/>
      </w:tblGrid>
      <w:tr>
        <w:trPr>
          <w:tblHeader/>
        </w:trPr>
        <w:tc>
          <w:tcPr>
            <w:tcW w:type="dxa" w:w="46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5"/>
                <w:szCs w:val="15"/>
              </w:rPr>
              <w:t xml:space="preserve">Task</w:t>
            </w:r>
          </w:p>
        </w:tc>
        <w:tc>
          <w:tcPr>
            <w:tcW w:type="dxa" w:w="4426"/>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5"/>
                <w:szCs w:val="15"/>
              </w:rPr>
              <w:t xml:space="preserve">Frequency</w:t>
            </w:r>
          </w:p>
        </w:tc>
      </w:tr>
      <w:tr>
        <w:tc>
          <w:tcPr>
            <w:tcW w:type="dxa" w:w="4600"/>
            <w:tcMar>
              <w:top w:type="dxa" w:w="55"/>
              <w:left w:type="dxa" w:w="85"/>
              <w:bottom w:type="dxa" w:w="55"/>
              <w:right w:type="dxa" w:w="85"/>
            </w:tcMar>
          </w:tcPr>
          <w:p>
            <w:pPr>
              <w:spacing w:after="0" w:line="235"/>
            </w:pPr>
            <w:r>
              <w:rPr>
                <w:rFonts w:ascii="Calibri" w:cs="Calibri" w:eastAsia="Calibri" w:hAnsi="Calibri"/>
                <w:sz w:val="15"/>
                <w:szCs w:val="15"/>
              </w:rPr>
              <w:t xml:space="preserve">207-001  Automatic Sampler Operation and Cut Verification - IsaMill Feed 022-XM-011 and 022-XM-017</w:t>
            </w:r>
          </w:p>
        </w:tc>
        <w:tc>
          <w:tcPr>
            <w:tcW w:type="dxa" w:w="4426"/>
            <w:tcMar>
              <w:top w:type="dxa" w:w="55"/>
              <w:left w:type="dxa" w:w="85"/>
              <w:bottom w:type="dxa" w:w="55"/>
              <w:right w:type="dxa" w:w="85"/>
            </w:tcMar>
          </w:tcPr>
          <w:p>
            <w:pPr>
              <w:spacing w:after="0" w:line="235"/>
            </w:pPr>
            <w:r>
              <w:rPr>
                <w:rFonts w:ascii="Calibri" w:cs="Calibri" w:eastAsia="Calibri" w:hAnsi="Calibri"/>
                <w:sz w:val="15"/>
                <w:szCs w:val="15"/>
              </w:rPr>
              <w:t xml:space="preserve">To be set once the sampler design is known.</w:t>
            </w:r>
          </w:p>
        </w:tc>
      </w:tr>
      <w:tr>
        <w:tc>
          <w:tcPr>
            <w:tcW w:type="dxa" w:w="46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207-002  Automatic Sampler Operation and Cut Verification - CIL Tails 032-XM-012</w:t>
            </w:r>
          </w:p>
        </w:tc>
        <w:tc>
          <w:tcPr>
            <w:tcW w:type="dxa" w:w="4426"/>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To be set once the sampler design is known.</w:t>
            </w:r>
          </w:p>
        </w:tc>
      </w:tr>
      <w:tr>
        <w:tc>
          <w:tcPr>
            <w:tcW w:type="dxa" w:w="4600"/>
            <w:tcMar>
              <w:top w:type="dxa" w:w="55"/>
              <w:left w:type="dxa" w:w="85"/>
              <w:bottom w:type="dxa" w:w="55"/>
              <w:right w:type="dxa" w:w="85"/>
            </w:tcMar>
          </w:tcPr>
          <w:p>
            <w:pPr>
              <w:spacing w:after="0" w:line="235"/>
            </w:pPr>
            <w:r>
              <w:rPr>
                <w:rFonts w:ascii="Calibri" w:cs="Calibri" w:eastAsia="Calibri" w:hAnsi="Calibri"/>
                <w:sz w:val="15"/>
                <w:szCs w:val="15"/>
              </w:rPr>
              <w:t xml:space="preserve">207-003  Automatic Sampler Operation and Cut Verification - Metal Adsorption Tails 041-XM-013</w:t>
            </w:r>
          </w:p>
        </w:tc>
        <w:tc>
          <w:tcPr>
            <w:tcW w:type="dxa" w:w="4426"/>
            <w:tcMar>
              <w:top w:type="dxa" w:w="55"/>
              <w:left w:type="dxa" w:w="85"/>
              <w:bottom w:type="dxa" w:w="55"/>
              <w:right w:type="dxa" w:w="85"/>
            </w:tcMar>
          </w:tcPr>
          <w:p>
            <w:pPr>
              <w:spacing w:after="0" w:line="235"/>
            </w:pPr>
            <w:r>
              <w:rPr>
                <w:rFonts w:ascii="Calibri" w:cs="Calibri" w:eastAsia="Calibri" w:hAnsi="Calibri"/>
                <w:sz w:val="15"/>
                <w:szCs w:val="15"/>
              </w:rPr>
              <w:t xml:space="preserve">To be set once the sampler design is known.</w:t>
            </w:r>
          </w:p>
        </w:tc>
      </w:tr>
      <w:tr>
        <w:tc>
          <w:tcPr>
            <w:tcW w:type="dxa" w:w="46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207-004  Automatic Sampler Operation and Cut Verification - Final Tails 051-XM-014</w:t>
            </w:r>
          </w:p>
        </w:tc>
        <w:tc>
          <w:tcPr>
            <w:tcW w:type="dxa" w:w="4426"/>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To be set once the sampler design is known.</w:t>
            </w:r>
          </w:p>
        </w:tc>
      </w:tr>
      <w:tr>
        <w:tc>
          <w:tcPr>
            <w:tcW w:type="dxa" w:w="4600"/>
            <w:tcMar>
              <w:top w:type="dxa" w:w="55"/>
              <w:left w:type="dxa" w:w="85"/>
              <w:bottom w:type="dxa" w:w="55"/>
              <w:right w:type="dxa" w:w="85"/>
            </w:tcMar>
          </w:tcPr>
          <w:p>
            <w:pPr>
              <w:spacing w:after="0" w:line="235"/>
            </w:pPr>
            <w:r>
              <w:rPr>
                <w:rFonts w:ascii="Calibri" w:cs="Calibri" w:eastAsia="Calibri" w:hAnsi="Calibri"/>
                <w:sz w:val="15"/>
                <w:szCs w:val="15"/>
              </w:rPr>
              <w:t xml:space="preserve">207-005  Automatic Sampler Cleaning, Unblocking and Cutter Wear Check</w:t>
            </w:r>
          </w:p>
        </w:tc>
        <w:tc>
          <w:tcPr>
            <w:tcW w:type="dxa" w:w="4426"/>
            <w:tcMar>
              <w:top w:type="dxa" w:w="55"/>
              <w:left w:type="dxa" w:w="85"/>
              <w:bottom w:type="dxa" w:w="55"/>
              <w:right w:type="dxa" w:w="85"/>
            </w:tcMar>
          </w:tcPr>
          <w:p>
            <w:pPr>
              <w:spacing w:after="0" w:line="235"/>
            </w:pPr>
            <w:r>
              <w:rPr>
                <w:rFonts w:ascii="Calibri" w:cs="Calibri" w:eastAsia="Calibri" w:hAnsi="Calibri"/>
                <w:sz w:val="15"/>
                <w:szCs w:val="15"/>
              </w:rPr>
              <w:t xml:space="preserve">To be set once the sampler design is known.</w:t>
            </w:r>
          </w:p>
        </w:tc>
      </w:tr>
      <w:tr>
        <w:tc>
          <w:tcPr>
            <w:tcW w:type="dxa" w:w="46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207-006  Automatic versus Manual Sample Bias Check and Reconciliation</w:t>
            </w:r>
          </w:p>
        </w:tc>
        <w:tc>
          <w:tcPr>
            <w:tcW w:type="dxa" w:w="4426"/>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Monthly on every sampler, and after any sampler repair or cutter change.</w:t>
            </w:r>
          </w:p>
        </w:tc>
      </w:tr>
      <w:tr>
        <w:tc>
          <w:tcPr>
            <w:tcW w:type="dxa" w:w="4600"/>
            <w:tcMar>
              <w:top w:type="dxa" w:w="55"/>
              <w:left w:type="dxa" w:w="85"/>
              <w:bottom w:type="dxa" w:w="55"/>
              <w:right w:type="dxa" w:w="85"/>
            </w:tcMar>
          </w:tcPr>
          <w:p>
            <w:pPr>
              <w:spacing w:after="0" w:line="235"/>
            </w:pPr>
            <w:r>
              <w:rPr>
                <w:rFonts w:ascii="Calibri" w:cs="Calibri" w:eastAsia="Calibri" w:hAnsi="Calibri"/>
                <w:sz w:val="15"/>
                <w:szCs w:val="15"/>
              </w:rPr>
              <w:t xml:space="preserve">207-007  Cyanide Analyser Daily Operation and Check - 032-CA-001 and 051-CA-002</w:t>
            </w:r>
          </w:p>
        </w:tc>
        <w:tc>
          <w:tcPr>
            <w:tcW w:type="dxa" w:w="4426"/>
            <w:tcMar>
              <w:top w:type="dxa" w:w="55"/>
              <w:left w:type="dxa" w:w="85"/>
              <w:bottom w:type="dxa" w:w="55"/>
              <w:right w:type="dxa" w:w="85"/>
            </w:tcMar>
          </w:tcPr>
          <w:p>
            <w:pPr>
              <w:spacing w:after="0" w:line="235"/>
            </w:pPr>
            <w:r>
              <w:rPr>
                <w:rFonts w:ascii="Calibri" w:cs="Calibri" w:eastAsia="Calibri" w:hAnsi="Calibri"/>
                <w:sz w:val="15"/>
                <w:szCs w:val="15"/>
              </w:rPr>
              <w:t xml:space="preserve">To be set once the vendor manual is held.</w:t>
            </w:r>
          </w:p>
        </w:tc>
      </w:tr>
      <w:tr>
        <w:tc>
          <w:tcPr>
            <w:tcW w:type="dxa" w:w="46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207-008  Cyanide Analyser Calibration and Standardisation</w:t>
            </w:r>
          </w:p>
        </w:tc>
        <w:tc>
          <w:tcPr>
            <w:tcW w:type="dxa" w:w="4426"/>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To be set once the vendor calibration data is held.</w:t>
            </w:r>
          </w:p>
        </w:tc>
      </w:tr>
      <w:tr>
        <w:tc>
          <w:tcPr>
            <w:tcW w:type="dxa" w:w="4600"/>
            <w:tcMar>
              <w:top w:type="dxa" w:w="55"/>
              <w:left w:type="dxa" w:w="85"/>
              <w:bottom w:type="dxa" w:w="55"/>
              <w:right w:type="dxa" w:w="85"/>
            </w:tcMar>
          </w:tcPr>
          <w:p>
            <w:pPr>
              <w:spacing w:after="0" w:line="235"/>
            </w:pPr>
            <w:r>
              <w:rPr>
                <w:rFonts w:ascii="Calibri" w:cs="Calibri" w:eastAsia="Calibri" w:hAnsi="Calibri"/>
                <w:sz w:val="15"/>
                <w:szCs w:val="15"/>
              </w:rPr>
              <w:t xml:space="preserve">207-009  Cyanide Analyser Specialised Electrode Replacement and Conditioning</w:t>
            </w:r>
          </w:p>
        </w:tc>
        <w:tc>
          <w:tcPr>
            <w:tcW w:type="dxa" w:w="4426"/>
            <w:tcMar>
              <w:top w:type="dxa" w:w="55"/>
              <w:left w:type="dxa" w:w="85"/>
              <w:bottom w:type="dxa" w:w="55"/>
              <w:right w:type="dxa" w:w="85"/>
            </w:tcMar>
          </w:tcPr>
          <w:p>
            <w:pPr>
              <w:spacing w:after="0" w:line="235"/>
            </w:pPr>
            <w:r>
              <w:rPr>
                <w:rFonts w:ascii="Calibri" w:cs="Calibri" w:eastAsia="Calibri" w:hAnsi="Calibri"/>
                <w:sz w:val="15"/>
                <w:szCs w:val="15"/>
              </w:rPr>
              <w:t xml:space="preserve">To be set once the vendor manual is held.</w:t>
            </w:r>
          </w:p>
        </w:tc>
      </w:tr>
      <w:tr>
        <w:tc>
          <w:tcPr>
            <w:tcW w:type="dxa" w:w="46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207-010  Cyanide Analyser Sample and Booster Pump Service - 032-PP-207/208 and 041-PP-2xx</w:t>
            </w:r>
          </w:p>
        </w:tc>
        <w:tc>
          <w:tcPr>
            <w:tcW w:type="dxa" w:w="4426"/>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To be set once the vendor manual is held.</w:t>
            </w:r>
          </w:p>
        </w:tc>
      </w:tr>
      <w:tr>
        <w:tc>
          <w:tcPr>
            <w:tcW w:type="dxa" w:w="4600"/>
            <w:tcMar>
              <w:top w:type="dxa" w:w="55"/>
              <w:left w:type="dxa" w:w="85"/>
              <w:bottom w:type="dxa" w:w="55"/>
              <w:right w:type="dxa" w:w="85"/>
            </w:tcMar>
          </w:tcPr>
          <w:p>
            <w:pPr>
              <w:spacing w:after="0" w:line="235"/>
            </w:pPr>
            <w:r>
              <w:rPr>
                <w:rFonts w:ascii="Calibri" w:cs="Calibri" w:eastAsia="Calibri" w:hAnsi="Calibri"/>
                <w:sz w:val="15"/>
                <w:szCs w:val="15"/>
              </w:rPr>
              <w:t xml:space="preserve">207-011  Cyanide Analyser Leak Detector and High Level Alarm Response</w:t>
            </w:r>
          </w:p>
        </w:tc>
        <w:tc>
          <w:tcPr>
            <w:tcW w:type="dxa" w:w="4426"/>
            <w:tcMar>
              <w:top w:type="dxa" w:w="55"/>
              <w:left w:type="dxa" w:w="85"/>
              <w:bottom w:type="dxa" w:w="55"/>
              <w:right w:type="dxa" w:w="85"/>
            </w:tcMar>
          </w:tcPr>
          <w:p>
            <w:pPr>
              <w:spacing w:after="0" w:line="235"/>
            </w:pPr>
            <w:r>
              <w:rPr>
                <w:rFonts w:ascii="Calibri" w:cs="Calibri" w:eastAsia="Calibri" w:hAnsi="Calibri"/>
                <w:sz w:val="15"/>
                <w:szCs w:val="15"/>
              </w:rPr>
              <w:t xml:space="preserve">To be set once the alarm response is defined.</w:t>
            </w:r>
          </w:p>
        </w:tc>
      </w:tr>
      <w:tr>
        <w:tc>
          <w:tcPr>
            <w:tcW w:type="dxa" w:w="46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207-012  Analyser to Laboratory Correlation Check and Drift Investigation</w:t>
            </w:r>
          </w:p>
        </w:tc>
        <w:tc>
          <w:tcPr>
            <w:tcW w:type="dxa" w:w="4426"/>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Weekly correlation; investigation on any developing drift.</w:t>
            </w:r>
          </w:p>
        </w:tc>
      </w:tr>
    </w:tbl>
    <w:p>
      <w:pPr>
        <w:spacing w:after="60" w:before="0" w:line="245"/>
      </w:pPr>
    </w:p>
    <w:p>
      <w:pPr>
        <w:pStyle w:val="Heading1"/>
        <w:spacing w:after="120" w:before="260"/>
      </w:pPr>
      <w:r>
        <w:rPr>
          <w:rFonts w:ascii="Calibri" w:cs="Calibri" w:eastAsia="Calibri" w:hAnsi="Calibri"/>
          <w:b/>
          <w:bCs/>
          <w:color w:val="1F3864"/>
          <w:sz w:val="24"/>
          <w:szCs w:val="24"/>
        </w:rPr>
        <w:t xml:space="preserve">7  FLOWCHART</w:t>
      </w:r>
    </w:p>
    <w:p>
      <w:pPr>
        <w:spacing w:after="60" w:before="0" w:line="245"/>
      </w:pPr>
      <w:r>
        <w:rPr>
          <w:rFonts w:ascii="Calibri" w:cs="Calibri" w:eastAsia="Calibri" w:hAnsi="Calibri"/>
          <w:sz w:val="17"/>
          <w:szCs w:val="17"/>
        </w:rPr>
        <w:t xml:space="preserve">Not reproduced here. Each work instruction carries its own step sequence in Section 6.</w:t>
      </w:r>
    </w:p>
    <w:p>
      <w:pPr>
        <w:pStyle w:val="Heading1"/>
        <w:spacing w:after="120" w:before="260"/>
      </w:pPr>
      <w:r>
        <w:rPr>
          <w:rFonts w:ascii="Calibri" w:cs="Calibri" w:eastAsia="Calibri" w:hAnsi="Calibri"/>
          <w:b/>
          <w:bCs/>
          <w:color w:val="1F3864"/>
          <w:sz w:val="24"/>
          <w:szCs w:val="24"/>
        </w:rPr>
        <w:t xml:space="preserve">8  TRAINING</w:t>
      </w:r>
    </w:p>
    <w:p>
      <w:pPr>
        <w:spacing w:after="60" w:before="0" w:line="245"/>
      </w:pPr>
      <w:r>
        <w:rPr>
          <w:rFonts w:ascii="Calibri" w:cs="Calibri" w:eastAsia="Calibri" w:hAnsi="Calibri"/>
          <w:sz w:val="17"/>
          <w:szCs w:val="17"/>
        </w:rPr>
        <w:t xml:space="preserve">Every person carrying out a task in this area is trained and signed off against the work instruction for that task, and has signed on to the matching JSEA at a communication session.</w:t>
      </w:r>
    </w:p>
    <w:p>
      <w:pPr>
        <w:pStyle w:val="ListParagraph"/>
        <w:numPr>
          <w:ilvl w:val="0"/>
          <w:numId w:val="1"/>
        </w:numPr>
        <w:spacing w:after="60" w:line="245"/>
      </w:pPr>
      <w:r>
        <w:rPr>
          <w:rFonts w:ascii="Calibri" w:cs="Calibri" w:eastAsia="Calibri" w:hAnsi="Calibri"/>
          <w:sz w:val="17"/>
          <w:szCs w:val="17"/>
        </w:rPr>
        <w:t xml:space="preserve">Site induction, current.</w:t>
      </w:r>
    </w:p>
    <w:p>
      <w:pPr>
        <w:pStyle w:val="ListParagraph"/>
        <w:numPr>
          <w:ilvl w:val="0"/>
          <w:numId w:val="1"/>
        </w:numPr>
        <w:spacing w:after="60" w:line="245"/>
      </w:pPr>
      <w:r>
        <w:rPr>
          <w:rFonts w:ascii="Calibri" w:cs="Calibri" w:eastAsia="Calibri" w:hAnsi="Calibri"/>
          <w:sz w:val="17"/>
          <w:szCs w:val="17"/>
        </w:rPr>
        <w:t xml:space="preserve">Cyanide awareness and gas detection competency where the area requires it.</w:t>
      </w:r>
    </w:p>
    <w:p>
      <w:pPr>
        <w:pStyle w:val="ListParagraph"/>
        <w:numPr>
          <w:ilvl w:val="0"/>
          <w:numId w:val="1"/>
        </w:numPr>
        <w:spacing w:after="60" w:line="245"/>
      </w:pPr>
      <w:r>
        <w:rPr>
          <w:rFonts w:ascii="Calibri" w:cs="Calibri" w:eastAsia="Calibri" w:hAnsi="Calibri"/>
          <w:sz w:val="17"/>
          <w:szCs w:val="17"/>
        </w:rPr>
        <w:t xml:space="preserve">Working at height competency where the task requires it.</w:t>
      </w:r>
    </w:p>
    <w:p>
      <w:pPr>
        <w:pStyle w:val="ListParagraph"/>
        <w:numPr>
          <w:ilvl w:val="0"/>
          <w:numId w:val="1"/>
        </w:numPr>
        <w:spacing w:after="60" w:line="245"/>
      </w:pPr>
      <w:r>
        <w:rPr>
          <w:rFonts w:ascii="Calibri" w:cs="Calibri" w:eastAsia="Calibri" w:hAnsi="Calibri"/>
          <w:sz w:val="17"/>
          <w:szCs w:val="17"/>
        </w:rPr>
        <w:t xml:space="preserve">Competency in the determinations, instruments and calculations used in the task.</w:t>
      </w:r>
    </w:p>
    <w:p>
      <w:pPr>
        <w:pStyle w:val="ListParagraph"/>
        <w:numPr>
          <w:ilvl w:val="0"/>
          <w:numId w:val="1"/>
        </w:numPr>
        <w:spacing w:after="60" w:line="245"/>
      </w:pPr>
      <w:r>
        <w:rPr>
          <w:rFonts w:ascii="Calibri" w:cs="Calibri" w:eastAsia="Calibri" w:hAnsi="Calibri"/>
          <w:sz w:val="17"/>
          <w:szCs w:val="17"/>
        </w:rPr>
        <w:t xml:space="preserve">Refresher at the interval set by the site training matrix, and after any change to the instruction.</w:t>
      </w:r>
    </w:p>
    <w:p>
      <w:pPr>
        <w:pStyle w:val="Heading1"/>
        <w:spacing w:after="120" w:before="260"/>
      </w:pPr>
      <w:r>
        <w:rPr>
          <w:rFonts w:ascii="Calibri" w:cs="Calibri" w:eastAsia="Calibri" w:hAnsi="Calibri"/>
          <w:b/>
          <w:bCs/>
          <w:color w:val="1F3864"/>
          <w:sz w:val="24"/>
          <w:szCs w:val="24"/>
        </w:rPr>
        <w:t xml:space="preserve">9  REFERENCE</w:t>
      </w:r>
    </w:p>
    <w:p>
      <w:pPr>
        <w:pStyle w:val="ListParagraph"/>
        <w:numPr>
          <w:ilvl w:val="0"/>
          <w:numId w:val="1"/>
        </w:numPr>
        <w:spacing w:after="60" w:line="245"/>
      </w:pPr>
      <w:r>
        <w:rPr>
          <w:rFonts w:ascii="Calibri" w:cs="Calibri" w:eastAsia="Calibri" w:hAnsi="Calibri"/>
          <w:sz w:val="17"/>
          <w:szCs w:val="17"/>
        </w:rPr>
        <w:t xml:space="preserve">No source held. 022-XM-011 and 022-XM-017 are shop-fabricated with the vendor and cutter design TBA.</w:t>
      </w:r>
    </w:p>
    <w:p>
      <w:pPr>
        <w:pStyle w:val="ListParagraph"/>
        <w:numPr>
          <w:ilvl w:val="0"/>
          <w:numId w:val="1"/>
        </w:numPr>
        <w:spacing w:after="60" w:line="245"/>
      </w:pPr>
      <w:r>
        <w:rPr>
          <w:rFonts w:ascii="Calibri" w:cs="Calibri" w:eastAsia="Calibri" w:hAnsi="Calibri"/>
          <w:sz w:val="17"/>
          <w:szCs w:val="17"/>
        </w:rPr>
        <w:t xml:space="preserve">The mechanical equipment list shows conflicting status - NEW on one tab, FUTURE on another.</w:t>
      </w:r>
    </w:p>
    <w:p>
      <w:pPr>
        <w:pStyle w:val="ListParagraph"/>
        <w:numPr>
          <w:ilvl w:val="0"/>
          <w:numId w:val="1"/>
        </w:numPr>
        <w:spacing w:after="60" w:line="245"/>
      </w:pPr>
      <w:r>
        <w:rPr>
          <w:rFonts w:ascii="Calibri" w:cs="Calibri" w:eastAsia="Calibri" w:hAnsi="Calibri"/>
          <w:sz w:val="17"/>
          <w:szCs w:val="17"/>
        </w:rPr>
        <w:t xml:space="preserve">No source held. Vendor and cutter design TBA; status conflict NEW versus FUTURE across the equipment list tabs.</w:t>
      </w:r>
    </w:p>
    <w:p>
      <w:pPr>
        <w:pStyle w:val="ListParagraph"/>
        <w:numPr>
          <w:ilvl w:val="0"/>
          <w:numId w:val="1"/>
        </w:numPr>
        <w:spacing w:after="60" w:line="245"/>
      </w:pPr>
      <w:r>
        <w:rPr>
          <w:rFonts w:ascii="Calibri" w:cs="Calibri" w:eastAsia="Calibri" w:hAnsi="Calibri"/>
          <w:sz w:val="17"/>
          <w:szCs w:val="17"/>
        </w:rPr>
        <w:t xml:space="preserve">No source held. Vendor and cutter design TBA.</w:t>
      </w:r>
    </w:p>
    <w:p>
      <w:pPr>
        <w:pStyle w:val="ListParagraph"/>
        <w:numPr>
          <w:ilvl w:val="0"/>
          <w:numId w:val="1"/>
        </w:numPr>
        <w:spacing w:after="60" w:line="245"/>
      </w:pPr>
      <w:r>
        <w:rPr>
          <w:rFonts w:ascii="Calibri" w:cs="Calibri" w:eastAsia="Calibri" w:hAnsi="Calibri"/>
          <w:sz w:val="17"/>
          <w:szCs w:val="17"/>
        </w:rPr>
        <w:t xml:space="preserve">No source held. Vendor and cutter design TBA; no P&amp;ID reference given on the equipment list.</w:t>
      </w:r>
    </w:p>
    <w:p>
      <w:pPr>
        <w:pStyle w:val="ListParagraph"/>
        <w:numPr>
          <w:ilvl w:val="0"/>
          <w:numId w:val="1"/>
        </w:numPr>
        <w:spacing w:after="60" w:line="245"/>
      </w:pPr>
      <w:r>
        <w:rPr>
          <w:rFonts w:ascii="Calibri" w:cs="Calibri" w:eastAsia="Calibri" w:hAnsi="Calibri"/>
          <w:sz w:val="17"/>
          <w:szCs w:val="17"/>
        </w:rPr>
        <w:t xml:space="preserve">No source held for any of the five samplers.</w:t>
      </w:r>
    </w:p>
    <w:p>
      <w:pPr>
        <w:pStyle w:val="ListParagraph"/>
        <w:numPr>
          <w:ilvl w:val="0"/>
          <w:numId w:val="1"/>
        </w:numPr>
        <w:spacing w:after="60" w:line="245"/>
      </w:pPr>
      <w:r>
        <w:rPr>
          <w:rFonts w:ascii="Calibri" w:cs="Calibri" w:eastAsia="Calibri" w:hAnsi="Calibri"/>
          <w:sz w:val="17"/>
          <w:szCs w:val="17"/>
        </w:rPr>
        <w:t xml:space="preserve">4034-PR-PRO-002 Sampling Protocol - the manual points to compare against</w:t>
      </w:r>
    </w:p>
    <w:p>
      <w:pPr>
        <w:pStyle w:val="ListParagraph"/>
        <w:numPr>
          <w:ilvl w:val="0"/>
          <w:numId w:val="1"/>
        </w:numPr>
        <w:spacing w:after="60" w:line="245"/>
      </w:pPr>
      <w:r>
        <w:rPr>
          <w:rFonts w:ascii="Calibri" w:cs="Calibri" w:eastAsia="Calibri" w:hAnsi="Calibri"/>
          <w:sz w:val="17"/>
          <w:szCs w:val="17"/>
        </w:rPr>
        <w:t xml:space="preserve">SWI-PRO-MET-201-001 to -018, the manual sampling instructions, issued</w:t>
      </w:r>
    </w:p>
    <w:p>
      <w:pPr>
        <w:pStyle w:val="ListParagraph"/>
        <w:numPr>
          <w:ilvl w:val="0"/>
          <w:numId w:val="1"/>
        </w:numPr>
        <w:spacing w:after="60" w:line="245"/>
      </w:pPr>
      <w:r>
        <w:rPr>
          <w:rFonts w:ascii="Calibri" w:cs="Calibri" w:eastAsia="Calibri" w:hAnsi="Calibri"/>
          <w:sz w:val="17"/>
          <w:szCs w:val="17"/>
        </w:rPr>
        <w:t xml:space="preserve">No source held. Molycop Cynoprobe v3 WAD vendor manual not held; OS-040_B Cyanide Analyser still open.</w:t>
      </w:r>
    </w:p>
    <w:p>
      <w:pPr>
        <w:pStyle w:val="ListParagraph"/>
        <w:numPr>
          <w:ilvl w:val="0"/>
          <w:numId w:val="1"/>
        </w:numPr>
        <w:spacing w:after="60" w:line="245"/>
      </w:pPr>
      <w:r>
        <w:rPr>
          <w:rFonts w:ascii="Calibri" w:cs="Calibri" w:eastAsia="Calibri" w:hAnsi="Calibri"/>
          <w:sz w:val="17"/>
          <w:szCs w:val="17"/>
        </w:rPr>
        <w:t xml:space="preserve">KBK-MIR-MP-PRO-MET-SOP-0053 Pembuatan Larutan Kalium Klorida untuk Cyanide Analizer, received 11 Aug 2026 - the electrolyte preparation only</w:t>
      </w:r>
    </w:p>
    <w:p>
      <w:pPr>
        <w:pStyle w:val="ListParagraph"/>
        <w:numPr>
          <w:ilvl w:val="0"/>
          <w:numId w:val="1"/>
        </w:numPr>
        <w:spacing w:after="60" w:line="245"/>
      </w:pPr>
      <w:r>
        <w:rPr>
          <w:rFonts w:ascii="Calibri" w:cs="Calibri" w:eastAsia="Calibri" w:hAnsi="Calibri"/>
          <w:sz w:val="17"/>
          <w:szCs w:val="17"/>
        </w:rPr>
        <w:t xml:space="preserve">Molycop Cynoprobe v3 WAD calibration data not held</w:t>
      </w:r>
    </w:p>
    <w:p>
      <w:pPr>
        <w:pStyle w:val="ListParagraph"/>
        <w:numPr>
          <w:ilvl w:val="0"/>
          <w:numId w:val="1"/>
        </w:numPr>
        <w:spacing w:after="60" w:line="245"/>
      </w:pPr>
      <w:r>
        <w:rPr>
          <w:rFonts w:ascii="Calibri" w:cs="Calibri" w:eastAsia="Calibri" w:hAnsi="Calibri"/>
          <w:sz w:val="17"/>
          <w:szCs w:val="17"/>
        </w:rPr>
        <w:t xml:space="preserve">Electrodes identified as Mintex 3000366 and 3000330 in the instrument list. No procedure held.</w:t>
      </w:r>
    </w:p>
    <w:p>
      <w:pPr>
        <w:pStyle w:val="ListParagraph"/>
        <w:numPr>
          <w:ilvl w:val="0"/>
          <w:numId w:val="1"/>
        </w:numPr>
        <w:spacing w:after="60" w:line="245"/>
      </w:pPr>
      <w:r>
        <w:rPr>
          <w:rFonts w:ascii="Calibri" w:cs="Calibri" w:eastAsia="Calibri" w:hAnsi="Calibri"/>
          <w:sz w:val="17"/>
          <w:szCs w:val="17"/>
        </w:rPr>
        <w:t xml:space="preserve">Vender Dura 10 pumps are listed as part of the Molycop package. No vendor manual held.</w:t>
      </w:r>
    </w:p>
    <w:p>
      <w:pPr>
        <w:pStyle w:val="ListParagraph"/>
        <w:numPr>
          <w:ilvl w:val="0"/>
          <w:numId w:val="1"/>
        </w:numPr>
        <w:spacing w:after="60" w:line="245"/>
      </w:pPr>
      <w:r>
        <w:rPr>
          <w:rFonts w:ascii="Calibri" w:cs="Calibri" w:eastAsia="Calibri" w:hAnsi="Calibri"/>
          <w:sz w:val="17"/>
          <w:szCs w:val="17"/>
        </w:rPr>
        <w:t xml:space="preserve">Azbil HPQ-D12 leak detector and E&amp;H FTL31 level switch are vendor scope. No alarm response held.</w:t>
      </w:r>
    </w:p>
    <w:p>
      <w:pPr>
        <w:pStyle w:val="ListParagraph"/>
        <w:numPr>
          <w:ilvl w:val="0"/>
          <w:numId w:val="1"/>
        </w:numPr>
        <w:spacing w:after="60" w:line="245"/>
      </w:pPr>
      <w:r>
        <w:rPr>
          <w:rFonts w:ascii="Calibri" w:cs="Calibri" w:eastAsia="Calibri" w:hAnsi="Calibri"/>
          <w:sz w:val="17"/>
          <w:szCs w:val="17"/>
        </w:rPr>
        <w:t xml:space="preserve">4034-PR-PRO-002 Sampling Protocol - the laboratory CN methods the analyser must track against</w:t>
      </w:r>
    </w:p>
    <w:p>
      <w:pPr>
        <w:pStyle w:val="ListParagraph"/>
        <w:numPr>
          <w:ilvl w:val="0"/>
          <w:numId w:val="1"/>
        </w:numPr>
        <w:spacing w:after="60" w:line="245"/>
      </w:pPr>
      <w:r>
        <w:rPr>
          <w:rFonts w:ascii="Calibri" w:cs="Calibri" w:eastAsia="Calibri" w:hAnsi="Calibri"/>
          <w:sz w:val="17"/>
          <w:szCs w:val="17"/>
        </w:rPr>
        <w:t xml:space="preserve">KBK-MIR-MP-PRO-MET-SOP-0033 Penentuan Konsentrasi Sianida dengan Kolorimetri, received 11 Aug 2026</w:t>
      </w:r>
    </w:p>
    <w:p>
      <w:pPr>
        <w:pStyle w:val="ListParagraph"/>
        <w:numPr>
          <w:ilvl w:val="0"/>
          <w:numId w:val="1"/>
        </w:numPr>
        <w:spacing w:after="60" w:line="245"/>
      </w:pPr>
      <w:r>
        <w:rPr>
          <w:rFonts w:ascii="Calibri" w:cs="Calibri" w:eastAsia="Calibri" w:hAnsi="Calibri"/>
          <w:sz w:val="17"/>
          <w:szCs w:val="17"/>
        </w:rPr>
        <w:t xml:space="preserve">SWI-PRO-MET-201-022 Online Analyser Verification Sampling, issued</w:t>
      </w:r>
    </w:p>
    <w:p>
      <w:pPr>
        <w:pStyle w:val="Heading1"/>
        <w:spacing w:after="120" w:before="260"/>
      </w:pPr>
      <w:r>
        <w:rPr>
          <w:rFonts w:ascii="Calibri" w:cs="Calibri" w:eastAsia="Calibri" w:hAnsi="Calibri"/>
          <w:b/>
          <w:bCs/>
          <w:color w:val="1F3864"/>
          <w:sz w:val="24"/>
          <w:szCs w:val="24"/>
        </w:rPr>
        <w:t xml:space="preserve">10  REVIEW</w:t>
      </w:r>
    </w:p>
    <w:p>
      <w:pPr>
        <w:spacing w:after="60" w:before="0" w:line="245"/>
      </w:pPr>
      <w:r>
        <w:rPr>
          <w:rFonts w:ascii="Calibri" w:cs="Calibri" w:eastAsia="Calibri" w:hAnsi="Calibri"/>
          <w:sz w:val="17"/>
          <w:szCs w:val="17"/>
        </w:rPr>
        <w:t xml:space="preserve">This procedure and the documents beneath it are reviewed every 12 months, and immediately after any incident, plant change, equipment change or change to the schedule.</w:t>
      </w:r>
    </w:p>
    <w:p>
      <w:pPr>
        <w:pStyle w:val="Heading1"/>
        <w:spacing w:after="120" w:before="260"/>
      </w:pPr>
      <w:r>
        <w:rPr>
          <w:rFonts w:ascii="Calibri" w:cs="Calibri" w:eastAsia="Calibri" w:hAnsi="Calibri"/>
          <w:b/>
          <w:bCs/>
          <w:color w:val="1F3864"/>
          <w:sz w:val="24"/>
          <w:szCs w:val="24"/>
        </w:rPr>
        <w:t xml:space="preserve">11  REGISTER TRACEABILITY</w:t>
      </w:r>
    </w:p>
    <w:p>
      <w:pPr>
        <w:spacing w:after="60" w:before="0" w:line="245"/>
      </w:pPr>
      <w:r>
        <w:rPr>
          <w:rFonts w:ascii="Calibri" w:cs="Calibri" w:eastAsia="Calibri" w:hAnsi="Calibri"/>
          <w:sz w:val="17"/>
          <w:szCs w:val="17"/>
        </w:rPr>
        <w:t xml:space="preserve">The three-digit suffix is shared between the two registers, so SWI-PRO-MET-207-011 is the work instruction for JSEA-PRO-MET-207-011.</w:t>
      </w:r>
    </w:p>
    <w:p>
      <w:pPr>
        <w:spacing w:after="60" w:before="0" w:line="245"/>
      </w:pPr>
      <w:r>
        <w:rPr>
          <w:rFonts w:ascii="Calibri" w:cs="Calibri" w:eastAsia="Calibri" w:hAnsi="Calibri"/>
          <w:sz w:val="17"/>
          <w:szCs w:val="17"/>
        </w:rPr>
        <w:t xml:space="preserve">Registers: HM-MMM-WHS-REG-JSEA-PRO-updated_10.xlsx tab JSEA_MET, and HM-MMM-WHS-REG-XXX-R00-SWI-SWMS.xlsx tab SWI-MET. GGT working masters are MM-4034-033-OR-03-JSEA-Register-RevE.xlsx and MM-4034-033-OR-03-SWI-Register-RevE.xlsx.</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200"/>
        <w:gridCol w:w="3826"/>
      </w:tblGrid>
      <w:tr>
        <w:trPr>
          <w:tblHeader/>
        </w:trPr>
        <w:tc>
          <w:tcPr>
            <w:tcW w:type="dxa" w:w="52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Item</w:t>
            </w:r>
          </w:p>
        </w:tc>
        <w:tc>
          <w:tcPr>
            <w:tcW w:type="dxa" w:w="3826"/>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Count</w:t>
            </w:r>
          </w:p>
        </w:tc>
      </w:tr>
      <w:tr>
        <w:tc>
          <w:tcPr>
            <w:tcW w:type="dxa" w:w="5200"/>
            <w:tcMar>
              <w:top w:type="dxa" w:w="55"/>
              <w:left w:type="dxa" w:w="85"/>
              <w:bottom w:type="dxa" w:w="55"/>
              <w:right w:type="dxa" w:w="85"/>
            </w:tcMar>
          </w:tcPr>
          <w:p>
            <w:pPr>
              <w:spacing w:after="0" w:line="235"/>
            </w:pPr>
            <w:r>
              <w:rPr>
                <w:rFonts w:ascii="Calibri" w:cs="Calibri" w:eastAsia="Calibri" w:hAnsi="Calibri"/>
                <w:sz w:val="16"/>
                <w:szCs w:val="16"/>
              </w:rPr>
              <w:t xml:space="preserve">Register lines in area 207</w:t>
            </w:r>
          </w:p>
        </w:tc>
        <w:tc>
          <w:tcPr>
            <w:tcW w:type="dxa" w:w="3826"/>
            <w:tcMar>
              <w:top w:type="dxa" w:w="55"/>
              <w:left w:type="dxa" w:w="85"/>
              <w:bottom w:type="dxa" w:w="55"/>
              <w:right w:type="dxa" w:w="85"/>
            </w:tcMar>
          </w:tcPr>
          <w:p>
            <w:pPr>
              <w:spacing w:after="0" w:line="235"/>
            </w:pPr>
            <w:r>
              <w:rPr>
                <w:rFonts w:ascii="Calibri" w:cs="Calibri" w:eastAsia="Calibri" w:hAnsi="Calibri"/>
                <w:sz w:val="16"/>
                <w:szCs w:val="16"/>
              </w:rPr>
              <w:t xml:space="preserve">12</w:t>
            </w:r>
          </w:p>
        </w:tc>
      </w:tr>
      <w:tr>
        <w:tc>
          <w:tcPr>
            <w:tcW w:type="dxa" w:w="52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Hazard analyses issued</w:t>
            </w:r>
          </w:p>
        </w:tc>
        <w:tc>
          <w:tcPr>
            <w:tcW w:type="dxa" w:w="3826"/>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12</w:t>
            </w:r>
          </w:p>
        </w:tc>
      </w:tr>
      <w:tr>
        <w:tc>
          <w:tcPr>
            <w:tcW w:type="dxa" w:w="5200"/>
            <w:tcMar>
              <w:top w:type="dxa" w:w="55"/>
              <w:left w:type="dxa" w:w="85"/>
              <w:bottom w:type="dxa" w:w="55"/>
              <w:right w:type="dxa" w:w="85"/>
            </w:tcMar>
          </w:tcPr>
          <w:p>
            <w:pPr>
              <w:spacing w:after="0" w:line="235"/>
            </w:pPr>
            <w:r>
              <w:rPr>
                <w:rFonts w:ascii="Calibri" w:cs="Calibri" w:eastAsia="Calibri" w:hAnsi="Calibri"/>
                <w:sz w:val="16"/>
                <w:szCs w:val="16"/>
              </w:rPr>
              <w:t xml:space="preserve">Work instructions issued</w:t>
            </w:r>
          </w:p>
        </w:tc>
        <w:tc>
          <w:tcPr>
            <w:tcW w:type="dxa" w:w="3826"/>
            <w:tcMar>
              <w:top w:type="dxa" w:w="55"/>
              <w:left w:type="dxa" w:w="85"/>
              <w:bottom w:type="dxa" w:w="55"/>
              <w:right w:type="dxa" w:w="85"/>
            </w:tcMar>
          </w:tcPr>
          <w:p>
            <w:pPr>
              <w:spacing w:after="0" w:line="235"/>
            </w:pPr>
            <w:r>
              <w:rPr>
                <w:rFonts w:ascii="Calibri" w:cs="Calibri" w:eastAsia="Calibri" w:hAnsi="Calibri"/>
                <w:sz w:val="16"/>
                <w:szCs w:val="16"/>
              </w:rPr>
              <w:t xml:space="preserve">11</w:t>
            </w:r>
          </w:p>
        </w:tc>
      </w:tr>
      <w:tr>
        <w:tc>
          <w:tcPr>
            <w:tcW w:type="dxa" w:w="52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Desk-based tasks with a JSEA but no work instruction</w:t>
            </w:r>
          </w:p>
        </w:tc>
        <w:tc>
          <w:tcPr>
            <w:tcW w:type="dxa" w:w="3826"/>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1</w:t>
            </w:r>
          </w:p>
        </w:tc>
      </w:tr>
      <w:tr>
        <w:tc>
          <w:tcPr>
            <w:tcW w:type="dxa" w:w="5200"/>
            <w:tcMar>
              <w:top w:type="dxa" w:w="55"/>
              <w:left w:type="dxa" w:w="85"/>
              <w:bottom w:type="dxa" w:w="55"/>
              <w:right w:type="dxa" w:w="85"/>
            </w:tcMar>
          </w:tcPr>
          <w:p>
            <w:pPr>
              <w:spacing w:after="0" w:line="235"/>
            </w:pPr>
            <w:r>
              <w:rPr>
                <w:rFonts w:ascii="Calibri" w:cs="Calibri" w:eastAsia="Calibri" w:hAnsi="Calibri"/>
                <w:sz w:val="16"/>
                <w:szCs w:val="16"/>
              </w:rPr>
              <w:t xml:space="preserve">Safety-critical</w:t>
            </w:r>
          </w:p>
        </w:tc>
        <w:tc>
          <w:tcPr>
            <w:tcW w:type="dxa" w:w="3826"/>
            <w:tcMar>
              <w:top w:type="dxa" w:w="55"/>
              <w:left w:type="dxa" w:w="85"/>
              <w:bottom w:type="dxa" w:w="55"/>
              <w:right w:type="dxa" w:w="85"/>
            </w:tcMar>
          </w:tcPr>
          <w:p>
            <w:pPr>
              <w:spacing w:after="0" w:line="235"/>
            </w:pPr>
            <w:r>
              <w:rPr>
                <w:rFonts w:ascii="Calibri" w:cs="Calibri" w:eastAsia="Calibri" w:hAnsi="Calibri"/>
                <w:sz w:val="16"/>
                <w:szCs w:val="16"/>
              </w:rPr>
              <w:t xml:space="preserve">12</w:t>
            </w:r>
          </w:p>
        </w:tc>
      </w:tr>
      <w:tr>
        <w:tc>
          <w:tcPr>
            <w:tcW w:type="dxa" w:w="52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Issued but NOT FOR USE</w:t>
            </w:r>
          </w:p>
        </w:tc>
        <w:tc>
          <w:tcPr>
            <w:tcW w:type="dxa" w:w="3826"/>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10</w:t>
            </w:r>
          </w:p>
        </w:tc>
      </w:tr>
    </w:tbl>
    <w:p>
      <w:pPr>
        <w:spacing w:after="60" w:before="0" w:line="245"/>
      </w:pPr>
    </w:p>
    <w:sectPr>
      <w:headerReference w:type="default" r:id="rId7"/>
      <w:footerReference w:type="default" r:id="rId8"/>
      <w:pgSz w:w="11906" w:h="16838" w:orient="portrait"/>
      <w:pgMar w:top="1000" w:right="1000" w:bottom="9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Calibri" w:cs="Calibri" w:eastAsia="Calibri" w:hAnsi="Calibri"/>
        <w:color w:val="595959"/>
        <w:sz w:val="15"/>
        <w:szCs w:val="15"/>
      </w:rPr>
      <w:t xml:space="preserve">Page </w:t>
    </w:r>
    <w:r>
      <w:rPr>
        <w:rFonts w:ascii="Calibri" w:cs="Calibri" w:eastAsia="Calibri" w:hAnsi="Calibri"/>
        <w:color w:val="595959"/>
        <w:sz w:val="15"/>
        <w:szCs w:val="15"/>
      </w:rPr>
      <w:fldChar w:fldCharType="begin"/>
      <w:instrText xml:space="preserve">PAGE</w:instrText>
      <w:fldChar w:fldCharType="separate"/>
      <w:fldChar w:fldCharType="end"/>
    </w:r>
    <w:r>
      <w:rPr>
        <w:rFonts w:ascii="Calibri" w:cs="Calibri" w:eastAsia="Calibri" w:hAnsi="Calibri"/>
        <w:color w:val="595959"/>
        <w:sz w:val="15"/>
        <w:szCs w:val="15"/>
      </w:rPr>
      <w:t xml:space="preserve"> of </w:t>
    </w:r>
    <w:r>
      <w:rPr>
        <w:rFonts w:ascii="Calibri" w:cs="Calibri" w:eastAsia="Calibri" w:hAnsi="Calibri"/>
        <w:color w:val="595959"/>
        <w:sz w:val="15"/>
        <w:szCs w:val="15"/>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sz="4" w:space="2" w:color="D7DEE9"/>
      </w:pBdr>
      <w:spacing w:after="0" w:line="240"/>
    </w:pPr>
    <w:r>
      <w:rPr>
        <w:rFonts w:ascii="Calibri" w:cs="Calibri" w:eastAsia="Calibri" w:hAnsi="Calibri"/>
        <w:color w:val="555555"/>
        <w:sz w:val="15"/>
        <w:szCs w:val="15"/>
      </w:rPr>
      <w:t xml:space="preserve">HM-PRC-VXX-PRO211  ·  Automatic Sampling and Online Analyser Operation  ·  Rev 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19"/>
        <w:szCs w:val="19"/>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2026-08-09T12:17:56.406Z</dcterms:created>
  <dcterms:modified xsi:type="dcterms:W3CDTF">2026-08-09T12:17:56.406Z</dcterms:modified>
</cp:coreProperties>
</file>

<file path=docProps/custom.xml><?xml version="1.0" encoding="utf-8"?>
<Properties xmlns="http://schemas.openxmlformats.org/officeDocument/2006/custom-properties" xmlns:vt="http://schemas.openxmlformats.org/officeDocument/2006/docPropsVTypes"/>
</file>