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PROCEDURE</w:t>
      </w:r>
    </w:p>
    <w:p>
      <w:pPr>
        <w:pBdr>
          <w:bottom w:val="single" w:sz="8" w:space="4" w:color="1F3864"/>
        </w:pBdr>
        <w:spacing w:after="80" w:before="0" w:line="300"/>
      </w:pPr>
      <w:r>
        <w:rPr>
          <w:rFonts w:ascii="Calibri" w:cs="Calibri" w:eastAsia="Calibri" w:hAnsi="Calibri"/>
          <w:b/>
          <w:bCs/>
          <w:color w:val="1F3864"/>
          <w:sz w:val="32"/>
          <w:szCs w:val="32"/>
        </w:rPr>
        <w:t xml:space="preserve">Laboratory Instrumental Analysis</w:t>
      </w:r>
    </w:p>
    <w:p>
      <w:pPr>
        <w:spacing w:after="140" w:before="0" w:line="245"/>
      </w:pPr>
      <w:r>
        <w:rPr>
          <w:rFonts w:ascii="Calibri" w:cs="Calibri" w:eastAsia="Calibri" w:hAnsi="Calibri"/>
          <w:color w:val="555555"/>
          <w:sz w:val="17"/>
          <w:szCs w:val="17"/>
        </w:rPr>
        <w:t xml:space="preserve">Standard Work Procedure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HM-PRC-VXX-PRO214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Title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Laboratory Instrumental Analysis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Scope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Laboratory instrumental analysis - atomic absorption spectrometry start-up, reading and calibration, burner and nebuliser maintenance, gas cylinder handling, the carbon and sulphur analyser, instrument fault response, and result entry and release.</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Register 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303 AAS and Instruments, on tabs JSEA_LAB and SWI-LAB</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Hazard analyses beneath</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14 (JSEA-PRO-LAB-303-001 to -014)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Work instructions beneath</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Process owner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Heritage Mineral Operations  ·  Business unit Mt. Morgan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owner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Process Operations Superintendent</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approver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Process Manager</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PURPOSE / SCOPE</w:t>
      </w:r>
    </w:p>
    <w:p>
      <w:pPr>
        <w:spacing w:after="60" w:before="0" w:line="245"/>
      </w:pPr>
      <w:r>
        <w:rPr>
          <w:rFonts w:ascii="Calibri" w:cs="Calibri" w:eastAsia="Calibri" w:hAnsi="Calibri"/>
          <w:sz w:val="17"/>
          <w:szCs w:val="17"/>
        </w:rPr>
        <w:t xml:space="preserve">This procedure covers laboratory instrumental analysis at the Mt. Morgan processing plant. It is the procedure that the 14 hazard analyses and 13 work instructions in register area 303 sit under.</w:t>
      </w:r>
    </w:p>
    <w:p>
      <w:pPr>
        <w:spacing w:after="60" w:before="0" w:line="245"/>
      </w:pPr>
      <w:r>
        <w:rPr>
          <w:rFonts w:ascii="Calibri" w:cs="Calibri" w:eastAsia="Calibri" w:hAnsi="Calibri"/>
          <w:sz w:val="17"/>
          <w:szCs w:val="17"/>
        </w:rPr>
        <w:t xml:space="preserve">Laboratory instrumental analysis - atomic absorption spectrometry start-up, reading and calibration, burner and nebuliser maintenance, gas cylinder handling, the carbon and sulphur analyser, instrument fault response, and result entry and release.</w:t>
      </w:r>
    </w:p>
    <w:p>
      <w:pPr>
        <w:pStyle w:val="Heading1"/>
        <w:spacing w:after="120" w:before="260"/>
      </w:pPr>
      <w:r>
        <w:rPr>
          <w:rFonts w:ascii="Calibri" w:cs="Calibri" w:eastAsia="Calibri" w:hAnsi="Calibri"/>
          <w:b/>
          <w:bCs/>
          <w:color w:val="1F3864"/>
          <w:sz w:val="24"/>
          <w:szCs w:val="24"/>
        </w:rPr>
        <w:t xml:space="preserve">2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Role</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Responsibilities</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Laboratory Technician</w:t>
            </w:r>
          </w:p>
        </w:tc>
        <w:tc>
          <w:tcPr>
            <w:tcW w:type="dxa" w:w="6426"/>
            <w:tcMar>
              <w:top w:type="dxa" w:w="55"/>
              <w:left w:type="dxa" w:w="85"/>
              <w:bottom w:type="dxa" w:w="55"/>
              <w:right w:type="dxa" w:w="85"/>
            </w:tcMar>
          </w:tcPr>
          <w:p>
            <w:pPr>
              <w:spacing w:after="30" w:line="235"/>
            </w:pPr>
            <w:r>
              <w:rPr>
                <w:rFonts w:ascii="Calibri" w:cs="Calibri" w:eastAsia="Calibri" w:hAnsi="Calibri"/>
                <w:sz w:val="16"/>
                <w:szCs w:val="16"/>
              </w:rPr>
              <w:t xml:space="preserve">Carry out the task to the schedule and to the work instruction.</w:t>
            </w:r>
          </w:p>
          <w:p>
            <w:pPr>
              <w:spacing w:after="30" w:line="235"/>
            </w:pPr>
            <w:r>
              <w:rPr>
                <w:rFonts w:ascii="Calibri" w:cs="Calibri" w:eastAsia="Calibri" w:hAnsi="Calibri"/>
                <w:sz w:val="16"/>
                <w:szCs w:val="16"/>
              </w:rPr>
              <w:t xml:space="preserve">Only carry out work where competent and authorised to do so.</w:t>
            </w:r>
          </w:p>
          <w:p>
            <w:pPr>
              <w:spacing w:after="30" w:line="235"/>
            </w:pPr>
            <w:r>
              <w:rPr>
                <w:rFonts w:ascii="Calibri" w:cs="Calibri" w:eastAsia="Calibri" w:hAnsi="Calibri"/>
                <w:sz w:val="16"/>
                <w:szCs w:val="16"/>
              </w:rPr>
              <w:t xml:space="preserve">Record what was actually done. Work not done is recorded as not done - never invented and never back-filled.</w:t>
            </w:r>
          </w:p>
          <w:p>
            <w:pPr>
              <w:spacing w:after="0" w:line="235"/>
            </w:pPr>
            <w:r>
              <w:rPr>
                <w:rFonts w:ascii="Calibri" w:cs="Calibri" w:eastAsia="Calibri" w:hAnsi="Calibri"/>
                <w:sz w:val="16"/>
                <w:szCs w:val="16"/>
              </w:rPr>
              <w:t xml:space="preserve">Stop and report if any control in the JSEA is not in place.</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Laboratory Supervisor</w:t>
            </w:r>
          </w:p>
        </w:tc>
        <w:tc>
          <w:tcPr>
            <w:tcW w:type="dxa" w:w="6426"/>
            <w:shd w:val="clear" w:color="auto" w:fill="F2F5FA"/>
            <w:tcMar>
              <w:top w:type="dxa" w:w="55"/>
              <w:left w:type="dxa" w:w="85"/>
              <w:bottom w:type="dxa" w:w="55"/>
              <w:right w:type="dxa" w:w="85"/>
            </w:tcMar>
          </w:tcPr>
          <w:p>
            <w:pPr>
              <w:spacing w:after="30" w:line="235"/>
            </w:pPr>
            <w:r>
              <w:rPr>
                <w:rFonts w:ascii="Calibri" w:cs="Calibri" w:eastAsia="Calibri" w:hAnsi="Calibri"/>
                <w:sz w:val="16"/>
                <w:szCs w:val="16"/>
              </w:rPr>
              <w:t xml:space="preserve">Authorise the task and confirm the area is fit before it starts.</w:t>
            </w:r>
          </w:p>
          <w:p>
            <w:pPr>
              <w:spacing w:after="30" w:line="235"/>
            </w:pPr>
            <w:r>
              <w:rPr>
                <w:rFonts w:ascii="Calibri" w:cs="Calibri" w:eastAsia="Calibri" w:hAnsi="Calibri"/>
                <w:sz w:val="16"/>
                <w:szCs w:val="16"/>
              </w:rPr>
              <w:t xml:space="preserve">Know that the task is in progress and where the person is.</w:t>
            </w:r>
          </w:p>
          <w:p>
            <w:pPr>
              <w:spacing w:after="30" w:line="235"/>
            </w:pPr>
            <w:r>
              <w:rPr>
                <w:rFonts w:ascii="Calibri" w:cs="Calibri" w:eastAsia="Calibri" w:hAnsi="Calibri"/>
                <w:sz w:val="16"/>
                <w:szCs w:val="16"/>
              </w:rPr>
              <w:t xml:space="preserve">Understand that much of the plant is automated and equipment may start or stop without warning.</w:t>
            </w:r>
          </w:p>
          <w:p>
            <w:pPr>
              <w:spacing w:after="0" w:line="235"/>
            </w:pPr>
            <w:r>
              <w:rPr>
                <w:rFonts w:ascii="Calibri" w:cs="Calibri" w:eastAsia="Calibri" w:hAnsi="Calibri"/>
                <w:sz w:val="16"/>
                <w:szCs w:val="16"/>
              </w:rPr>
              <w:t xml:space="preserve">Act on any off-specification result reported from the task.</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Chief Chemist / Metallurgist</w:t>
            </w:r>
          </w:p>
        </w:tc>
        <w:tc>
          <w:tcPr>
            <w:tcW w:type="dxa" w:w="6426"/>
            <w:tcMar>
              <w:top w:type="dxa" w:w="55"/>
              <w:left w:type="dxa" w:w="85"/>
              <w:bottom w:type="dxa" w:w="55"/>
              <w:right w:type="dxa" w:w="85"/>
            </w:tcMar>
          </w:tcPr>
          <w:p>
            <w:pPr>
              <w:spacing w:after="30" w:line="235"/>
            </w:pPr>
            <w:r>
              <w:rPr>
                <w:rFonts w:ascii="Calibri" w:cs="Calibri" w:eastAsia="Calibri" w:hAnsi="Calibri"/>
                <w:sz w:val="16"/>
                <w:szCs w:val="16"/>
              </w:rPr>
              <w:t xml:space="preserve">Set and maintain the schedule - what is done, how often, and what is reported.</w:t>
            </w:r>
          </w:p>
          <w:p>
            <w:pPr>
              <w:spacing w:after="30" w:line="235"/>
            </w:pPr>
            <w:r>
              <w:rPr>
                <w:rFonts w:ascii="Calibri" w:cs="Calibri" w:eastAsia="Calibri" w:hAnsi="Calibri"/>
                <w:sz w:val="16"/>
                <w:szCs w:val="16"/>
              </w:rPr>
              <w:t xml:space="preserve">Review the results and act on the trends.</w:t>
            </w:r>
          </w:p>
          <w:p>
            <w:pPr>
              <w:spacing w:after="0" w:line="235"/>
            </w:pPr>
            <w:r>
              <w:rPr>
                <w:rFonts w:ascii="Calibri" w:cs="Calibri" w:eastAsia="Calibri" w:hAnsi="Calibri"/>
                <w:sz w:val="16"/>
                <w:szCs w:val="16"/>
              </w:rPr>
              <w:t xml:space="preserve">Investigate any variance outside the agreed tolerance before a period is closed.</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Laboratory Manager / Superintendent</w:t>
            </w:r>
          </w:p>
        </w:tc>
        <w:tc>
          <w:tcPr>
            <w:tcW w:type="dxa" w:w="6426"/>
            <w:shd w:val="clear" w:color="auto" w:fill="F2F5FA"/>
            <w:tcMar>
              <w:top w:type="dxa" w:w="55"/>
              <w:left w:type="dxa" w:w="85"/>
              <w:bottom w:type="dxa" w:w="55"/>
              <w:right w:type="dxa" w:w="85"/>
            </w:tcMar>
          </w:tcPr>
          <w:p>
            <w:pPr>
              <w:spacing w:after="30" w:line="235"/>
            </w:pPr>
            <w:r>
              <w:rPr>
                <w:rFonts w:ascii="Calibri" w:cs="Calibri" w:eastAsia="Calibri" w:hAnsi="Calibri"/>
                <w:sz w:val="16"/>
                <w:szCs w:val="16"/>
              </w:rPr>
              <w:t xml:space="preserve">Ensure all personnel are trained and competent.</w:t>
            </w:r>
          </w:p>
          <w:p>
            <w:pPr>
              <w:spacing w:after="30" w:line="235"/>
            </w:pPr>
            <w:r>
              <w:rPr>
                <w:rFonts w:ascii="Calibri" w:cs="Calibri" w:eastAsia="Calibri" w:hAnsi="Calibri"/>
                <w:sz w:val="16"/>
                <w:szCs w:val="16"/>
              </w:rPr>
              <w:t xml:space="preserve">Ensure this procedure and the documents beneath it are reviewed at the stated interval.</w:t>
            </w:r>
          </w:p>
          <w:p>
            <w:pPr>
              <w:spacing w:after="0" w:line="235"/>
            </w:pPr>
            <w:r>
              <w:rPr>
                <w:rFonts w:ascii="Calibri" w:cs="Calibri" w:eastAsia="Calibri" w:hAnsi="Calibri"/>
                <w:sz w:val="16"/>
                <w:szCs w:val="16"/>
              </w:rPr>
              <w:t xml:space="preserve">Approve the risk ranking in the JSEAs.</w:t>
            </w:r>
          </w:p>
        </w:tc>
      </w:tr>
    </w:tbl>
    <w:p>
      <w:pPr>
        <w:spacing w:after="60" w:before="0" w:line="245"/>
      </w:pPr>
    </w:p>
    <w:p>
      <w:pPr>
        <w:pStyle w:val="Heading1"/>
        <w:spacing w:after="120" w:before="260"/>
      </w:pPr>
      <w:r>
        <w:rPr>
          <w:rFonts w:ascii="Calibri" w:cs="Calibri" w:eastAsia="Calibri" w:hAnsi="Calibri"/>
          <w:b/>
          <w:bCs/>
          <w:color w:val="1F3864"/>
          <w:sz w:val="24"/>
          <w:szCs w:val="24"/>
        </w:rPr>
        <w:t xml:space="preserve">3  ABBREVIATIONS / DEFINITIONS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Term</w:t>
            </w:r>
          </w:p>
        </w:tc>
        <w:tc>
          <w:tcPr>
            <w:tcW w:type="dxa" w:w="68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Meaning</w:t>
            </w:r>
          </w:p>
        </w:tc>
      </w:tr>
      <w:tr>
        <w:tc>
          <w:tcPr>
            <w:tcW w:type="dxa" w:w="2200"/>
            <w:tcMar>
              <w:top w:type="dxa" w:w="55"/>
              <w:left w:type="dxa" w:w="85"/>
              <w:bottom w:type="dxa" w:w="55"/>
              <w:right w:type="dxa" w:w="85"/>
            </w:tcMar>
          </w:tcPr>
          <w:p>
            <w:pPr>
              <w:spacing w:after="0" w:line="235"/>
            </w:pPr>
            <w:r>
              <w:rPr>
                <w:rFonts w:ascii="Calibri" w:cs="Calibri" w:eastAsia="Calibri" w:hAnsi="Calibri"/>
                <w:sz w:val="16"/>
                <w:szCs w:val="16"/>
              </w:rPr>
              <w:t xml:space="preserve">JSEA</w:t>
            </w:r>
          </w:p>
        </w:tc>
        <w:tc>
          <w:tcPr>
            <w:tcW w:type="dxa" w:w="6826"/>
            <w:tcMar>
              <w:top w:type="dxa" w:w="55"/>
              <w:left w:type="dxa" w:w="85"/>
              <w:bottom w:type="dxa" w:w="55"/>
              <w:right w:type="dxa" w:w="85"/>
            </w:tcMar>
          </w:tcPr>
          <w:p>
            <w:pPr>
              <w:spacing w:after="0" w:line="235"/>
            </w:pPr>
            <w:r>
              <w:rPr>
                <w:rFonts w:ascii="Calibri" w:cs="Calibri" w:eastAsia="Calibri" w:hAnsi="Calibri"/>
                <w:sz w:val="16"/>
                <w:szCs w:val="16"/>
              </w:rPr>
              <w:t xml:space="preserve">Job safety and environmental analysis - one per task, giving the step-by-step hazards, controls and risk ranking.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SWI</w:t>
            </w:r>
          </w:p>
        </w:tc>
        <w:tc>
          <w:tcPr>
            <w:tcW w:type="dxa" w:w="6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Standard work instruction - one per task, giving the step-by-step method.</w:t>
            </w:r>
          </w:p>
        </w:tc>
      </w:tr>
      <w:tr>
        <w:tc>
          <w:tcPr>
            <w:tcW w:type="dxa" w:w="2200"/>
            <w:tcMar>
              <w:top w:type="dxa" w:w="55"/>
              <w:left w:type="dxa" w:w="85"/>
              <w:bottom w:type="dxa" w:w="55"/>
              <w:right w:type="dxa" w:w="85"/>
            </w:tcMar>
          </w:tcPr>
          <w:p>
            <w:pPr>
              <w:spacing w:after="0" w:line="235"/>
            </w:pPr>
            <w:r>
              <w:rPr>
                <w:rFonts w:ascii="Calibri" w:cs="Calibri" w:eastAsia="Calibri" w:hAnsi="Calibri"/>
                <w:sz w:val="16"/>
                <w:szCs w:val="16"/>
              </w:rPr>
              <w:t xml:space="preserve">SWP</w:t>
            </w:r>
          </w:p>
        </w:tc>
        <w:tc>
          <w:tcPr>
            <w:tcW w:type="dxa" w:w="6826"/>
            <w:tcMar>
              <w:top w:type="dxa" w:w="55"/>
              <w:left w:type="dxa" w:w="85"/>
              <w:bottom w:type="dxa" w:w="55"/>
              <w:right w:type="dxa" w:w="85"/>
            </w:tcMar>
          </w:tcPr>
          <w:p>
            <w:pPr>
              <w:spacing w:after="0" w:line="235"/>
            </w:pPr>
            <w:r>
              <w:rPr>
                <w:rFonts w:ascii="Calibri" w:cs="Calibri" w:eastAsia="Calibri" w:hAnsi="Calibri"/>
                <w:sz w:val="16"/>
                <w:szCs w:val="16"/>
              </w:rPr>
              <w:t xml:space="preserve">Standard work procedure - this document.</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Steady state</w:t>
            </w:r>
          </w:p>
        </w:tc>
        <w:tc>
          <w:tcPr>
            <w:tcW w:type="dxa" w:w="6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Normal operation held for at least 15 to 20 minutes.</w:t>
            </w:r>
          </w:p>
        </w:tc>
      </w:tr>
      <w:tr>
        <w:tc>
          <w:tcPr>
            <w:tcW w:type="dxa" w:w="2200"/>
            <w:tcMar>
              <w:top w:type="dxa" w:w="55"/>
              <w:left w:type="dxa" w:w="85"/>
              <w:bottom w:type="dxa" w:w="55"/>
              <w:right w:type="dxa" w:w="85"/>
            </w:tcMar>
          </w:tcPr>
          <w:p>
            <w:pPr>
              <w:spacing w:after="0" w:line="235"/>
            </w:pPr>
            <w:r>
              <w:rPr>
                <w:rFonts w:ascii="Calibri" w:cs="Calibri" w:eastAsia="Calibri" w:hAnsi="Calibri"/>
                <w:sz w:val="16"/>
                <w:szCs w:val="16"/>
              </w:rPr>
              <w:t xml:space="preserve">ReCYN</w:t>
            </w:r>
          </w:p>
        </w:tc>
        <w:tc>
          <w:tcPr>
            <w:tcW w:type="dxa" w:w="6826"/>
            <w:tcMar>
              <w:top w:type="dxa" w:w="55"/>
              <w:left w:type="dxa" w:w="85"/>
              <w:bottom w:type="dxa" w:w="55"/>
              <w:right w:type="dxa" w:w="85"/>
            </w:tcMar>
          </w:tcPr>
          <w:p>
            <w:pPr>
              <w:spacing w:after="0" w:line="235"/>
            </w:pPr>
            <w:r>
              <w:rPr>
                <w:rFonts w:ascii="Calibri" w:cs="Calibri" w:eastAsia="Calibri" w:hAnsi="Calibri"/>
                <w:sz w:val="16"/>
                <w:szCs w:val="16"/>
              </w:rPr>
              <w:t xml:space="preserve">The resin-in-pulp cyanide and metal recovery process in Areas 041, 051, 071 and 081.</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CN Free / WAD CN</w:t>
            </w:r>
          </w:p>
        </w:tc>
        <w:tc>
          <w:tcPr>
            <w:tcW w:type="dxa" w:w="6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Free cyanide by silver nitrate titration; weak acid dissociable cyanide by distillation.</w:t>
            </w:r>
          </w:p>
        </w:tc>
      </w:tr>
    </w:tbl>
    <w:p>
      <w:pPr>
        <w:spacing w:after="60" w:before="0" w:line="245"/>
      </w:pPr>
    </w:p>
    <w:p>
      <w:pPr>
        <w:pStyle w:val="Heading1"/>
        <w:spacing w:after="120" w:before="260"/>
      </w:pPr>
      <w:r>
        <w:rPr>
          <w:rFonts w:ascii="Calibri" w:cs="Calibri" w:eastAsia="Calibri" w:hAnsi="Calibri"/>
          <w:b/>
          <w:bCs/>
          <w:color w:val="1F3864"/>
          <w:sz w:val="24"/>
          <w:szCs w:val="24"/>
        </w:rPr>
        <w:t xml:space="preserve">4  POTENTIAL HAZARDS</w:t>
      </w:r>
    </w:p>
    <w:p>
      <w:pPr>
        <w:spacing w:after="60" w:before="0" w:line="245"/>
      </w:pPr>
      <w:r>
        <w:rPr>
          <w:rFonts w:ascii="Calibri" w:cs="Calibri" w:eastAsia="Calibri" w:hAnsi="Calibri"/>
          <w:sz w:val="17"/>
          <w:szCs w:val="17"/>
        </w:rPr>
        <w:t xml:space="preserve">The step-by-step hazard analysis for each task, with the risk ranking, is in the JSEA for that task. The hazards common across this area are:</w:t>
      </w:r>
    </w:p>
    <w:p>
      <w:pPr>
        <w:pStyle w:val="ListParagraph"/>
        <w:numPr>
          <w:ilvl w:val="0"/>
          <w:numId w:val="1"/>
        </w:numPr>
        <w:spacing w:after="60" w:line="245"/>
      </w:pPr>
      <w:r>
        <w:rPr>
          <w:rFonts w:ascii="Calibri" w:cs="Calibri" w:eastAsia="Calibri" w:hAnsi="Calibri"/>
          <w:sz w:val="17"/>
          <w:szCs w:val="17"/>
        </w:rPr>
        <w:t xml:space="preserve">Contact with live electrical equipment at a sample pump, cutter or local control station</w:t>
      </w:r>
    </w:p>
    <w:p>
      <w:pPr>
        <w:pStyle w:val="ListParagraph"/>
        <w:numPr>
          <w:ilvl w:val="0"/>
          <w:numId w:val="1"/>
        </w:numPr>
        <w:spacing w:after="60" w:line="245"/>
      </w:pPr>
      <w:r>
        <w:rPr>
          <w:rFonts w:ascii="Calibri" w:cs="Calibri" w:eastAsia="Calibri" w:hAnsi="Calibri"/>
          <w:sz w:val="17"/>
          <w:szCs w:val="17"/>
        </w:rPr>
        <w:t xml:space="preserve">Inhalation of acid fume or reagent vapour at the bench</w:t>
      </w:r>
    </w:p>
    <w:p>
      <w:pPr>
        <w:pStyle w:val="ListParagraph"/>
        <w:numPr>
          <w:ilvl w:val="0"/>
          <w:numId w:val="1"/>
        </w:numPr>
        <w:spacing w:after="60" w:line="245"/>
      </w:pPr>
      <w:r>
        <w:rPr>
          <w:rFonts w:ascii="Calibri" w:cs="Calibri" w:eastAsia="Calibri" w:hAnsi="Calibri"/>
          <w:sz w:val="17"/>
          <w:szCs w:val="17"/>
        </w:rPr>
        <w:t xml:space="preserve">Release from a pressurised sample line, hose or fitting</w:t>
      </w:r>
    </w:p>
    <w:p>
      <w:pPr>
        <w:pStyle w:val="ListParagraph"/>
        <w:numPr>
          <w:ilvl w:val="0"/>
          <w:numId w:val="1"/>
        </w:numPr>
        <w:spacing w:after="60" w:line="245"/>
      </w:pPr>
      <w:r>
        <w:rPr>
          <w:rFonts w:ascii="Calibri" w:cs="Calibri" w:eastAsia="Calibri" w:hAnsi="Calibri"/>
          <w:sz w:val="17"/>
          <w:szCs w:val="17"/>
        </w:rPr>
        <w:t xml:space="preserve">Contact with hot solution or hot surface at the elution, stripping or regeneration circuits</w:t>
      </w:r>
    </w:p>
    <w:p>
      <w:pPr>
        <w:pStyle w:val="ListParagraph"/>
        <w:numPr>
          <w:ilvl w:val="0"/>
          <w:numId w:val="1"/>
        </w:numPr>
        <w:spacing w:after="60" w:line="245"/>
      </w:pPr>
      <w:r>
        <w:rPr>
          <w:rFonts w:ascii="Calibri" w:cs="Calibri" w:eastAsia="Calibri" w:hAnsi="Calibri"/>
          <w:sz w:val="17"/>
          <w:szCs w:val="17"/>
        </w:rPr>
        <w:t xml:space="preserve">Cuts from broken glassware, and burns from hot glassware</w:t>
      </w:r>
    </w:p>
    <w:p>
      <w:pPr>
        <w:pStyle w:val="ListParagraph"/>
        <w:numPr>
          <w:ilvl w:val="0"/>
          <w:numId w:val="1"/>
        </w:numPr>
        <w:spacing w:after="60" w:line="245"/>
      </w:pPr>
      <w:r>
        <w:rPr>
          <w:rFonts w:ascii="Calibri" w:cs="Calibri" w:eastAsia="Calibri" w:hAnsi="Calibri"/>
          <w:sz w:val="17"/>
          <w:szCs w:val="17"/>
        </w:rPr>
        <w:t xml:space="preserve">Cross-contamination from a container or cutter not cleaned between points</w:t>
      </w:r>
    </w:p>
    <w:p>
      <w:pPr>
        <w:pStyle w:val="ListParagraph"/>
        <w:numPr>
          <w:ilvl w:val="0"/>
          <w:numId w:val="1"/>
        </w:numPr>
        <w:spacing w:after="60" w:line="245"/>
      </w:pPr>
      <w:r>
        <w:rPr>
          <w:rFonts w:ascii="Calibri" w:cs="Calibri" w:eastAsia="Calibri" w:hAnsi="Calibri"/>
          <w:sz w:val="17"/>
          <w:szCs w:val="17"/>
        </w:rPr>
        <w:t xml:space="preserve">Non-representative sample leading to a wrong process decision</w:t>
      </w:r>
    </w:p>
    <w:p>
      <w:pPr>
        <w:pStyle w:val="ListParagraph"/>
        <w:numPr>
          <w:ilvl w:val="0"/>
          <w:numId w:val="1"/>
        </w:numPr>
        <w:spacing w:after="60" w:line="245"/>
      </w:pPr>
      <w:r>
        <w:rPr>
          <w:rFonts w:ascii="Calibri" w:cs="Calibri" w:eastAsia="Calibri" w:hAnsi="Calibri"/>
          <w:sz w:val="17"/>
          <w:szCs w:val="17"/>
        </w:rPr>
        <w:t xml:space="preserve">Manual handling injury from carrying sample buckets, containers and composite drums</w:t>
      </w:r>
    </w:p>
    <w:p>
      <w:pPr>
        <w:pStyle w:val="ListParagraph"/>
        <w:numPr>
          <w:ilvl w:val="0"/>
          <w:numId w:val="1"/>
        </w:numPr>
        <w:spacing w:after="60" w:line="245"/>
      </w:pPr>
      <w:r>
        <w:rPr>
          <w:rFonts w:ascii="Calibri" w:cs="Calibri" w:eastAsia="Calibri" w:hAnsi="Calibri"/>
          <w:sz w:val="17"/>
          <w:szCs w:val="17"/>
        </w:rPr>
        <w:t xml:space="preserve">An accounting or reconciliation error that hides a real metal loss</w:t>
      </w:r>
    </w:p>
    <w:p>
      <w:pPr>
        <w:pStyle w:val="ListParagraph"/>
        <w:numPr>
          <w:ilvl w:val="0"/>
          <w:numId w:val="1"/>
        </w:numPr>
        <w:spacing w:after="60" w:line="245"/>
      </w:pPr>
      <w:r>
        <w:rPr>
          <w:rFonts w:ascii="Calibri" w:cs="Calibri" w:eastAsia="Calibri" w:hAnsi="Calibri"/>
          <w:sz w:val="17"/>
          <w:szCs w:val="17"/>
        </w:rPr>
        <w:t xml:space="preserve">Inhalation of or contact with solid reagent - cyanide briquettes, lime or salt</w:t>
      </w:r>
    </w:p>
    <w:p>
      <w:pPr>
        <w:pStyle w:val="Heading1"/>
        <w:spacing w:after="120" w:before="260"/>
      </w:pPr>
      <w:r>
        <w:rPr>
          <w:rFonts w:ascii="Calibri" w:cs="Calibri" w:eastAsia="Calibri" w:hAnsi="Calibri"/>
          <w:b/>
          <w:bCs/>
          <w:color w:val="1F3864"/>
          <w:sz w:val="24"/>
          <w:szCs w:val="24"/>
        </w:rPr>
        <w:t xml:space="preserve">5  PPE</w:t>
      </w:r>
    </w:p>
    <w:p>
      <w:pPr>
        <w:spacing w:after="60" w:before="0" w:line="245"/>
      </w:pPr>
      <w:r>
        <w:rPr>
          <w:rFonts w:ascii="Calibri" w:cs="Calibri" w:eastAsia="Calibri" w:hAnsi="Calibri"/>
          <w:sz w:val="17"/>
          <w:szCs w:val="17"/>
        </w:rPr>
        <w:t xml:space="preserve">Standard PPE is worn for all normal operations: hard hat, safety glasses, high-visibility long-sleeved shirt and long trousers, safety boots, and gloves appropriate to the task.</w:t>
      </w:r>
    </w:p>
    <w:p>
      <w:pPr>
        <w:spacing w:after="60" w:before="0" w:line="245"/>
      </w:pPr>
      <w:r>
        <w:rPr>
          <w:rFonts w:ascii="Calibri" w:cs="Calibri" w:eastAsia="Calibri" w:hAnsi="Calibri"/>
          <w:sz w:val="17"/>
          <w:szCs w:val="17"/>
        </w:rPr>
        <w:t xml:space="preserve">The following is added where the task requires it:</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6  PROCEDURE</w:t>
      </w:r>
    </w:p>
    <w:p>
      <w:pPr>
        <w:spacing w:after="90" w:before="180" w:line="245"/>
        <w:keepNext/>
      </w:pPr>
      <w:r>
        <w:rPr>
          <w:rFonts w:ascii="Calibri" w:cs="Calibri" w:eastAsia="Calibri" w:hAnsi="Calibri"/>
          <w:b/>
          <w:bCs/>
          <w:color w:val="1F3864"/>
          <w:sz w:val="19"/>
          <w:szCs w:val="19"/>
        </w:rPr>
        <w:t xml:space="preserve">6.1  Introduction</w:t>
      </w:r>
    </w:p>
    <w:p>
      <w:pPr>
        <w:spacing w:after="60" w:before="0" w:line="245"/>
      </w:pPr>
      <w:r>
        <w:rPr>
          <w:rFonts w:ascii="Calibri" w:cs="Calibri" w:eastAsia="Calibri" w:hAnsi="Calibri"/>
          <w:b/>
          <w:bCs/>
          <w:sz w:val="17"/>
          <w:szCs w:val="17"/>
        </w:rPr>
        <w:t xml:space="preserve">Warning: many operations on the gold processing plant are automated and equipment may start or stop without warning. It is the operator's responsibility to ensure the safety of all personnel working on the plant at all times.</w:t>
      </w:r>
    </w:p>
    <w:p>
      <w:pPr>
        <w:spacing w:after="90" w:before="180" w:line="245"/>
        <w:keepNext/>
      </w:pPr>
      <w:r>
        <w:rPr>
          <w:rFonts w:ascii="Calibri" w:cs="Calibri" w:eastAsia="Calibri" w:hAnsi="Calibri"/>
          <w:b/>
          <w:bCs/>
          <w:color w:val="1F3864"/>
          <w:sz w:val="19"/>
          <w:szCs w:val="19"/>
        </w:rPr>
        <w:t xml:space="preserve">6.2  Procedure and implementation steps</w:t>
      </w:r>
    </w:p>
    <w:p>
      <w:pPr>
        <w:spacing w:after="60" w:before="0" w:line="245"/>
      </w:pPr>
      <w:r>
        <w:rPr>
          <w:rFonts w:ascii="Calibri" w:cs="Calibri" w:eastAsia="Calibri" w:hAnsi="Calibri"/>
          <w:sz w:val="17"/>
          <w:szCs w:val="17"/>
        </w:rPr>
        <w:t xml:space="preserve">The documents below are the controlled method for each task. This procedure does not repeat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0"/>
        <w:gridCol w:w="1850"/>
        <w:gridCol w:w="4026"/>
        <w:gridCol w:w="1300"/>
      </w:tblGrid>
      <w:tr>
        <w:trPr>
          <w:tblHeader/>
        </w:trPr>
        <w:tc>
          <w:tcPr>
            <w:tcW w:type="dxa" w:w="185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JSEA</w:t>
            </w:r>
          </w:p>
        </w:tc>
        <w:tc>
          <w:tcPr>
            <w:tcW w:type="dxa" w:w="185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Work instruction</w:t>
            </w:r>
          </w:p>
        </w:tc>
        <w:tc>
          <w:tcPr>
            <w:tcW w:type="dxa" w:w="40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Task</w:t>
            </w:r>
          </w:p>
        </w:tc>
        <w:tc>
          <w:tcPr>
            <w:tcW w:type="dxa" w:w="13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Class</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JSEA-PRO-LAB-303-001</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SWI-PRO-LAB-303-001</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AAS Start-Up, Flame Ignition and Shutdown</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JSEA-PRO-LAB-303-002</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SWI-PRO-LAB-303-002</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AAS Sample Reading - Gold and Silver</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JSEA-PRO-LAB-303-003</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SWI-PRO-LAB-303-003</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AAS Sample Reading - Base Metals</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JSEA-PRO-LAB-303-004</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SWI-PRO-LAB-303-004</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AAS Calibration, Standardisation and Drift Check</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JSEA-PRO-LAB-303-005</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SWI-PRO-LAB-303-005</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Acetylene and Air Cylinder Changeover and Leak Test</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JSEA-PRO-LAB-303-006</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SWI-PRO-LAB-303-006</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AAS Burner and Nebuliser Cleaning and Maintenance</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JSEA-PRO-LAB-303-007</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SWI-PRO-LAB-303-007</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Spectrophotometer (HACH DR) Operation and Verification</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Operating</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JSEA-PRO-LAB-303-008</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SWI-PRO-LAB-303-008</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Instrument Fault Response and Sample Re-Run Protocol</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Operating</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JSEA-PRO-LAB-303-009</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Result Entry, Verification and Release to Plant</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Operating</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JSEA-PRO-LAB-303-010</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SWI-PRO-LAB-303-010</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Carbon and Sulphur Analyser Operation and Sample Loading - Eltra CS-i</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JSEA-PRO-LAB-303-011</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SWI-PRO-LAB-303-011</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Carbon and Sulphur Analyser Calibration, Standards and Drift Check</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JSEA-PRO-LAB-303-012</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SWI-PRO-LAB-303-012</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Carbon and Sulphur Analyser Crucible, Accelerator and Furnace Cleaning</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JSEA-PRO-LAB-303-013</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SWI-PRO-LAB-303-013</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Oxygen and Argon Supply, Regulator and Flashback Arrestor Check</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JSEA-PRO-LAB-303-014</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SWI-PRO-LAB-303-014</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AAS Extraction Blower, Vent and UPS Function Check</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bl>
    <w:p>
      <w:pPr>
        <w:spacing w:after="60" w:before="0" w:line="245"/>
      </w:pPr>
    </w:p>
    <w:p>
      <w:pPr>
        <w:spacing w:after="90" w:before="180" w:line="245"/>
        <w:keepNext/>
      </w:pPr>
      <w:r>
        <w:rPr>
          <w:rFonts w:ascii="Calibri" w:cs="Calibri" w:eastAsia="Calibri" w:hAnsi="Calibri"/>
          <w:b/>
          <w:bCs/>
          <w:color w:val="1F3864"/>
          <w:sz w:val="19"/>
          <w:szCs w:val="19"/>
        </w:rPr>
        <w:t xml:space="preserve">6.3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Task</w:t>
            </w:r>
          </w:p>
        </w:tc>
        <w:tc>
          <w:tcPr>
            <w:tcW w:type="dxa" w:w="4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Frequency</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303-001  AAS Start-Up, Flame Ignition and Shutdown</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analytical session.</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303-002  AAS Sample Reading - Gold and Silver</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Every gold or silver batch.</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303-003  AAS Sample Reading - Base Metals</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base metal batch.</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303-004  AAS Calibration, Standardisation and Drift Check</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Every session, and at the drift check interval within it.</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303-005  Acetylene and Air Cylinder Changeover and Leak Test</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cylinder change.</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303-006  AAS Burner and Nebuliser Cleaning and Maintenance</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At the interval the method sets and whenever sensitivity falls.</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303-007  Spectrophotometer (HACH DR) Operation and Verification</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To be set once an instrument is purchased.</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303-008  Instrument Fault Response and Sample Re-Run Protocol</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Every instrument fault.</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303-009  Result Entry, Verification and Release to Plant</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batch.</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303-010  Carbon and Sulphur Analyser Operation and Sample Loading - Eltra CS-i</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To be set once the method and consumables are resolved.</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303-011  Carbon and Sulphur Analyser Calibration, Standards and Drift Check</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To be set once standards are purchased.</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303-012  Carbon and Sulphur Analyser Crucible, Accelerator and Furnace Cleaning</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To be set once the instrument is commissioned.</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303-013  Oxygen and Argon Supply, Regulator and Flashback Arrestor Check</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At the set interval and at every cylinder change.</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303-014  AAS Extraction Blower, Vent and UPS Function Check</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Every session, and monthly in full.</w:t>
            </w:r>
          </w:p>
        </w:tc>
      </w:tr>
    </w:tbl>
    <w:p>
      <w:pPr>
        <w:spacing w:after="60" w:before="0" w:line="245"/>
      </w:pPr>
    </w:p>
    <w:p>
      <w:pPr>
        <w:pStyle w:val="Heading1"/>
        <w:spacing w:after="120" w:before="260"/>
      </w:pPr>
      <w:r>
        <w:rPr>
          <w:rFonts w:ascii="Calibri" w:cs="Calibri" w:eastAsia="Calibri" w:hAnsi="Calibri"/>
          <w:b/>
          <w:bCs/>
          <w:color w:val="1F3864"/>
          <w:sz w:val="24"/>
          <w:szCs w:val="24"/>
        </w:rPr>
        <w:t xml:space="preserve">7  FLOWCHART</w:t>
      </w:r>
    </w:p>
    <w:p>
      <w:pPr>
        <w:spacing w:after="60" w:before="0" w:line="245"/>
      </w:pPr>
      <w:r>
        <w:rPr>
          <w:rFonts w:ascii="Calibri" w:cs="Calibri" w:eastAsia="Calibri" w:hAnsi="Calibri"/>
          <w:sz w:val="17"/>
          <w:szCs w:val="17"/>
        </w:rPr>
        <w:t xml:space="preserve">Not reproduced here. Each work instruction carries its own step sequence in Section 6.</w:t>
      </w:r>
    </w:p>
    <w:p>
      <w:pPr>
        <w:pStyle w:val="Heading1"/>
        <w:spacing w:after="120" w:before="260"/>
      </w:pPr>
      <w:r>
        <w:rPr>
          <w:rFonts w:ascii="Calibri" w:cs="Calibri" w:eastAsia="Calibri" w:hAnsi="Calibri"/>
          <w:b/>
          <w:bCs/>
          <w:color w:val="1F3864"/>
          <w:sz w:val="24"/>
          <w:szCs w:val="24"/>
        </w:rPr>
        <w:t xml:space="preserve">8  TRAINING</w:t>
      </w:r>
    </w:p>
    <w:p>
      <w:pPr>
        <w:spacing w:after="60" w:before="0" w:line="245"/>
      </w:pPr>
      <w:r>
        <w:rPr>
          <w:rFonts w:ascii="Calibri" w:cs="Calibri" w:eastAsia="Calibri" w:hAnsi="Calibri"/>
          <w:sz w:val="17"/>
          <w:szCs w:val="17"/>
        </w:rPr>
        <w:t xml:space="preserve">Every person carrying out a task in this area is trained and signed off against the work instruction for that task, and has signed on to the matching JSEA at a communication session.</w:t>
      </w:r>
    </w:p>
    <w:p>
      <w:pPr>
        <w:pStyle w:val="ListParagraph"/>
        <w:numPr>
          <w:ilvl w:val="0"/>
          <w:numId w:val="1"/>
        </w:numPr>
        <w:spacing w:after="60" w:line="245"/>
      </w:pPr>
      <w:r>
        <w:rPr>
          <w:rFonts w:ascii="Calibri" w:cs="Calibri" w:eastAsia="Calibri" w:hAnsi="Calibri"/>
          <w:sz w:val="17"/>
          <w:szCs w:val="17"/>
        </w:rPr>
        <w:t xml:space="preserve">Site induction, current.</w:t>
      </w:r>
    </w:p>
    <w:p>
      <w:pPr>
        <w:pStyle w:val="ListParagraph"/>
        <w:numPr>
          <w:ilvl w:val="0"/>
          <w:numId w:val="1"/>
        </w:numPr>
        <w:spacing w:after="60" w:line="245"/>
      </w:pPr>
      <w:r>
        <w:rPr>
          <w:rFonts w:ascii="Calibri" w:cs="Calibri" w:eastAsia="Calibri" w:hAnsi="Calibri"/>
          <w:sz w:val="17"/>
          <w:szCs w:val="17"/>
        </w:rPr>
        <w:t xml:space="preserve">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Working at height competency where the task requires it.</w:t>
      </w:r>
    </w:p>
    <w:p>
      <w:pPr>
        <w:pStyle w:val="ListParagraph"/>
        <w:numPr>
          <w:ilvl w:val="0"/>
          <w:numId w:val="1"/>
        </w:numPr>
        <w:spacing w:after="60" w:line="245"/>
      </w:pPr>
      <w:r>
        <w:rPr>
          <w:rFonts w:ascii="Calibri" w:cs="Calibri" w:eastAsia="Calibri" w:hAnsi="Calibri"/>
          <w:sz w:val="17"/>
          <w:szCs w:val="17"/>
        </w:rPr>
        <w:t xml:space="preserve">Competency in the determinations, instruments and calculations used in the task.</w:t>
      </w:r>
    </w:p>
    <w:p>
      <w:pPr>
        <w:pStyle w:val="ListParagraph"/>
        <w:numPr>
          <w:ilvl w:val="0"/>
          <w:numId w:val="1"/>
        </w:numPr>
        <w:spacing w:after="60" w:line="245"/>
      </w:pPr>
      <w:r>
        <w:rPr>
          <w:rFonts w:ascii="Calibri" w:cs="Calibri" w:eastAsia="Calibri" w:hAnsi="Calibri"/>
          <w:sz w:val="17"/>
          <w:szCs w:val="17"/>
        </w:rPr>
        <w:t xml:space="preserve">Refresher at the interval set by the site training matrix, and after any change to the instruction.</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ILS quote Q0023979: 2 x PerkinElmer PinAAcle 500 Syngistix. KBK SOPs are written for GBC instruments and will need rewriting, not adapting</w:t>
      </w:r>
    </w:p>
    <w:p>
      <w:pPr>
        <w:pStyle w:val="ListParagraph"/>
        <w:numPr>
          <w:ilvl w:val="0"/>
          <w:numId w:val="1"/>
        </w:numPr>
        <w:spacing w:after="60" w:line="245"/>
      </w:pPr>
      <w:r>
        <w:rPr>
          <w:rFonts w:ascii="Calibri" w:cs="Calibri" w:eastAsia="Calibri" w:hAnsi="Calibri"/>
          <w:sz w:val="17"/>
          <w:szCs w:val="17"/>
        </w:rPr>
        <w:t xml:space="preserve">Heritage register line JSEA-PRO-LAB-303-001, tab JSEA_LAB / SWI-LAB</w:t>
      </w:r>
    </w:p>
    <w:p>
      <w:pPr>
        <w:pStyle w:val="ListParagraph"/>
        <w:numPr>
          <w:ilvl w:val="0"/>
          <w:numId w:val="1"/>
        </w:numPr>
        <w:spacing w:after="60" w:line="245"/>
      </w:pPr>
      <w:r>
        <w:rPr>
          <w:rFonts w:ascii="Calibri" w:cs="Calibri" w:eastAsia="Calibri" w:hAnsi="Calibri"/>
          <w:sz w:val="17"/>
          <w:szCs w:val="17"/>
        </w:rPr>
        <w:t xml:space="preserve">ILS quote Q0023979: PinAAcle 500 with air-acetylene burner and high-sensitivity nebulisers</w:t>
      </w:r>
    </w:p>
    <w:p>
      <w:pPr>
        <w:pStyle w:val="ListParagraph"/>
        <w:numPr>
          <w:ilvl w:val="0"/>
          <w:numId w:val="1"/>
        </w:numPr>
        <w:spacing w:after="60" w:line="245"/>
      </w:pPr>
      <w:r>
        <w:rPr>
          <w:rFonts w:ascii="Calibri" w:cs="Calibri" w:eastAsia="Calibri" w:hAnsi="Calibri"/>
          <w:sz w:val="17"/>
          <w:szCs w:val="17"/>
        </w:rPr>
        <w:t xml:space="preserve">Heritage register line JSEA-PRO-LAB-303-002, tab JSEA_LAB / SWI-LAB</w:t>
      </w:r>
    </w:p>
    <w:p>
      <w:pPr>
        <w:pStyle w:val="ListParagraph"/>
        <w:numPr>
          <w:ilvl w:val="0"/>
          <w:numId w:val="1"/>
        </w:numPr>
        <w:spacing w:after="60" w:line="245"/>
      </w:pPr>
      <w:r>
        <w:rPr>
          <w:rFonts w:ascii="Calibri" w:cs="Calibri" w:eastAsia="Calibri" w:hAnsi="Calibri"/>
          <w:sz w:val="17"/>
          <w:szCs w:val="17"/>
        </w:rPr>
        <w:t xml:space="preserve">ILS quote Q0023979: PinAAcle 500, flame only - no graphite furnace or ICP quoted</w:t>
      </w:r>
    </w:p>
    <w:p>
      <w:pPr>
        <w:pStyle w:val="ListParagraph"/>
        <w:numPr>
          <w:ilvl w:val="0"/>
          <w:numId w:val="1"/>
        </w:numPr>
        <w:spacing w:after="60" w:line="245"/>
      </w:pPr>
      <w:r>
        <w:rPr>
          <w:rFonts w:ascii="Calibri" w:cs="Calibri" w:eastAsia="Calibri" w:hAnsi="Calibri"/>
          <w:sz w:val="17"/>
          <w:szCs w:val="17"/>
        </w:rPr>
        <w:t xml:space="preserve">Heritage register line JSEA-PRO-LAB-303-003, tab JSEA_LAB / SWI-LAB</w:t>
      </w:r>
    </w:p>
    <w:p>
      <w:pPr>
        <w:pStyle w:val="ListParagraph"/>
        <w:numPr>
          <w:ilvl w:val="0"/>
          <w:numId w:val="1"/>
        </w:numPr>
        <w:spacing w:after="60" w:line="245"/>
      </w:pPr>
      <w:r>
        <w:rPr>
          <w:rFonts w:ascii="Calibri" w:cs="Calibri" w:eastAsia="Calibri" w:hAnsi="Calibri"/>
          <w:sz w:val="17"/>
          <w:szCs w:val="17"/>
        </w:rPr>
        <w:t xml:space="preserve">ILS quote Q0023979: PinAAcle 500 Syngistix; PerkinElmer method and calibration guidance not held</w:t>
      </w:r>
    </w:p>
    <w:p>
      <w:pPr>
        <w:pStyle w:val="ListParagraph"/>
        <w:numPr>
          <w:ilvl w:val="0"/>
          <w:numId w:val="1"/>
        </w:numPr>
        <w:spacing w:after="60" w:line="245"/>
      </w:pPr>
      <w:r>
        <w:rPr>
          <w:rFonts w:ascii="Calibri" w:cs="Calibri" w:eastAsia="Calibri" w:hAnsi="Calibri"/>
          <w:sz w:val="17"/>
          <w:szCs w:val="17"/>
        </w:rPr>
        <w:t xml:space="preserve">Heritage register line JSEA-PRO-LAB-303-004, tab JSEA_LAB / SWI-LAB</w:t>
      </w:r>
    </w:p>
    <w:p>
      <w:pPr>
        <w:pStyle w:val="ListParagraph"/>
        <w:numPr>
          <w:ilvl w:val="0"/>
          <w:numId w:val="1"/>
        </w:numPr>
        <w:spacing w:after="60" w:line="245"/>
      </w:pPr>
      <w:r>
        <w:rPr>
          <w:rFonts w:ascii="Calibri" w:cs="Calibri" w:eastAsia="Calibri" w:hAnsi="Calibri"/>
          <w:sz w:val="17"/>
          <w:szCs w:val="17"/>
        </w:rPr>
        <w:t xml:space="preserve">KBK-MIR-LAB-AAS-SOP-066 Penggantian tabung gas asetilen</w:t>
      </w:r>
    </w:p>
    <w:p>
      <w:pPr>
        <w:pStyle w:val="ListParagraph"/>
        <w:numPr>
          <w:ilvl w:val="0"/>
          <w:numId w:val="1"/>
        </w:numPr>
        <w:spacing w:after="60" w:line="245"/>
      </w:pPr>
      <w:r>
        <w:rPr>
          <w:rFonts w:ascii="Calibri" w:cs="Calibri" w:eastAsia="Calibri" w:hAnsi="Calibri"/>
          <w:sz w:val="17"/>
          <w:szCs w:val="17"/>
        </w:rPr>
        <w:t xml:space="preserve">Heritage register line JSEA-PRO-LAB-303-005, tab JSEA_LAB / SWI-LAB</w:t>
      </w:r>
    </w:p>
    <w:p>
      <w:pPr>
        <w:pStyle w:val="ListParagraph"/>
        <w:numPr>
          <w:ilvl w:val="0"/>
          <w:numId w:val="1"/>
        </w:numPr>
        <w:spacing w:after="60" w:line="245"/>
      </w:pPr>
      <w:r>
        <w:rPr>
          <w:rFonts w:ascii="Calibri" w:cs="Calibri" w:eastAsia="Calibri" w:hAnsi="Calibri"/>
          <w:sz w:val="17"/>
          <w:szCs w:val="17"/>
        </w:rPr>
        <w:t xml:space="preserve">ILS quote Q0023979 includes high-sensitivity nebulisers and o-ring kits but no maintenance procedure is held</w:t>
      </w:r>
    </w:p>
    <w:p>
      <w:pPr>
        <w:pStyle w:val="ListParagraph"/>
        <w:numPr>
          <w:ilvl w:val="0"/>
          <w:numId w:val="1"/>
        </w:numPr>
        <w:spacing w:after="60" w:line="245"/>
      </w:pPr>
      <w:r>
        <w:rPr>
          <w:rFonts w:ascii="Calibri" w:cs="Calibri" w:eastAsia="Calibri" w:hAnsi="Calibri"/>
          <w:sz w:val="17"/>
          <w:szCs w:val="17"/>
        </w:rPr>
        <w:t xml:space="preserve">Heritage register line JSEA-PRO-LAB-303-006, tab JSEA_LAB / SWI-LAB</w:t>
      </w:r>
    </w:p>
    <w:p>
      <w:pPr>
        <w:pStyle w:val="ListParagraph"/>
        <w:numPr>
          <w:ilvl w:val="0"/>
          <w:numId w:val="1"/>
        </w:numPr>
        <w:spacing w:after="60" w:line="245"/>
      </w:pPr>
      <w:r>
        <w:rPr>
          <w:rFonts w:ascii="Calibri" w:cs="Calibri" w:eastAsia="Calibri" w:hAnsi="Calibri"/>
          <w:sz w:val="17"/>
          <w:szCs w:val="17"/>
        </w:rPr>
        <w:t xml:space="preserve">No spectrophotometer of any kind in ILS quote Q0023979. The HACH DR2800 methods cannot be used. Add an instrument or delete this line and every colorimetric method that depends on it</w:t>
      </w:r>
    </w:p>
    <w:p>
      <w:pPr>
        <w:pStyle w:val="ListParagraph"/>
        <w:numPr>
          <w:ilvl w:val="0"/>
          <w:numId w:val="1"/>
        </w:numPr>
        <w:spacing w:after="60" w:line="245"/>
      </w:pPr>
      <w:r>
        <w:rPr>
          <w:rFonts w:ascii="Calibri" w:cs="Calibri" w:eastAsia="Calibri" w:hAnsi="Calibri"/>
          <w:sz w:val="17"/>
          <w:szCs w:val="17"/>
        </w:rPr>
        <w:t xml:space="preserve">Heritage register line JSEA-PRO-LAB-303-007, tab JSEA_LAB / SWI-LAB</w:t>
      </w:r>
    </w:p>
    <w:p>
      <w:pPr>
        <w:pStyle w:val="ListParagraph"/>
        <w:numPr>
          <w:ilvl w:val="0"/>
          <w:numId w:val="1"/>
        </w:numPr>
        <w:spacing w:after="60" w:line="245"/>
      </w:pPr>
      <w:r>
        <w:rPr>
          <w:rFonts w:ascii="Calibri" w:cs="Calibri" w:eastAsia="Calibri" w:hAnsi="Calibri"/>
          <w:sz w:val="17"/>
          <w:szCs w:val="17"/>
        </w:rPr>
        <w:t xml:space="preserve">Heritage register line JSEA-PRO-LAB-303-008, tab JSEA_LAB / SWI-LAB</w:t>
      </w:r>
    </w:p>
    <w:p>
      <w:pPr>
        <w:pStyle w:val="ListParagraph"/>
        <w:numPr>
          <w:ilvl w:val="0"/>
          <w:numId w:val="1"/>
        </w:numPr>
        <w:spacing w:after="60" w:line="245"/>
      </w:pPr>
      <w:r>
        <w:rPr>
          <w:rFonts w:ascii="Calibri" w:cs="Calibri" w:eastAsia="Calibri" w:hAnsi="Calibri"/>
          <w:sz w:val="17"/>
          <w:szCs w:val="17"/>
        </w:rPr>
        <w:t xml:space="preserve">No LIMS or result release procedure held - depends on the lab systems decision</w:t>
      </w:r>
    </w:p>
    <w:p>
      <w:pPr>
        <w:pStyle w:val="ListParagraph"/>
        <w:numPr>
          <w:ilvl w:val="0"/>
          <w:numId w:val="1"/>
        </w:numPr>
        <w:spacing w:after="60" w:line="245"/>
      </w:pPr>
      <w:r>
        <w:rPr>
          <w:rFonts w:ascii="Calibri" w:cs="Calibri" w:eastAsia="Calibri" w:hAnsi="Calibri"/>
          <w:sz w:val="17"/>
          <w:szCs w:val="17"/>
        </w:rPr>
        <w:t xml:space="preserve">Heritage register line JSEA-PRO-LAB-303-009, tab JSEA_LAB / SWI-LAB</w:t>
      </w:r>
    </w:p>
    <w:p>
      <w:pPr>
        <w:pStyle w:val="ListParagraph"/>
        <w:numPr>
          <w:ilvl w:val="0"/>
          <w:numId w:val="1"/>
        </w:numPr>
        <w:spacing w:after="60" w:line="245"/>
      </w:pPr>
      <w:r>
        <w:rPr>
          <w:rFonts w:ascii="Calibri" w:cs="Calibri" w:eastAsia="Calibri" w:hAnsi="Calibri"/>
          <w:sz w:val="17"/>
          <w:szCs w:val="17"/>
        </w:rPr>
        <w:t xml:space="preserve">ILS quote Q0023979: Eltra CS-i carbon and sulphur analyser, 2 sulphur channels 0.0001-4.6 per cent. No vendor manual held</w:t>
      </w:r>
    </w:p>
    <w:p>
      <w:pPr>
        <w:pStyle w:val="ListParagraph"/>
        <w:numPr>
          <w:ilvl w:val="0"/>
          <w:numId w:val="1"/>
        </w:numPr>
        <w:spacing w:after="60" w:line="245"/>
      </w:pPr>
      <w:r>
        <w:rPr>
          <w:rFonts w:ascii="Calibri" w:cs="Calibri" w:eastAsia="Calibri" w:hAnsi="Calibri"/>
          <w:sz w:val="17"/>
          <w:szCs w:val="17"/>
        </w:rPr>
        <w:t xml:space="preserve">Heritage register line JSEA-PRO-LAB-303-010, tab JSEA_LAB / SWI-LAB</w:t>
      </w:r>
    </w:p>
    <w:p>
      <w:pPr>
        <w:pStyle w:val="ListParagraph"/>
        <w:numPr>
          <w:ilvl w:val="0"/>
          <w:numId w:val="1"/>
        </w:numPr>
        <w:spacing w:after="60" w:line="245"/>
      </w:pPr>
      <w:r>
        <w:rPr>
          <w:rFonts w:ascii="Calibri" w:cs="Calibri" w:eastAsia="Calibri" w:hAnsi="Calibri"/>
          <w:sz w:val="17"/>
          <w:szCs w:val="17"/>
        </w:rPr>
        <w:t xml:space="preserve">ILS quote Q0023979 states plainly that no standards or consumables are included with the Eltra CS-i</w:t>
      </w:r>
    </w:p>
    <w:p>
      <w:pPr>
        <w:pStyle w:val="ListParagraph"/>
        <w:numPr>
          <w:ilvl w:val="0"/>
          <w:numId w:val="1"/>
        </w:numPr>
        <w:spacing w:after="60" w:line="245"/>
      </w:pPr>
      <w:r>
        <w:rPr>
          <w:rFonts w:ascii="Calibri" w:cs="Calibri" w:eastAsia="Calibri" w:hAnsi="Calibri"/>
          <w:sz w:val="17"/>
          <w:szCs w:val="17"/>
        </w:rPr>
        <w:t xml:space="preserve">Heritage register line JSEA-PRO-LAB-303-011, tab JSEA_LAB / SWI-LAB</w:t>
      </w:r>
    </w:p>
    <w:p>
      <w:pPr>
        <w:pStyle w:val="ListParagraph"/>
        <w:numPr>
          <w:ilvl w:val="0"/>
          <w:numId w:val="1"/>
        </w:numPr>
        <w:spacing w:after="60" w:line="245"/>
      </w:pPr>
      <w:r>
        <w:rPr>
          <w:rFonts w:ascii="Calibri" w:cs="Calibri" w:eastAsia="Calibri" w:hAnsi="Calibri"/>
          <w:sz w:val="17"/>
          <w:szCs w:val="17"/>
        </w:rPr>
        <w:t xml:space="preserve">No crucible, accelerator or furnace cleaning procedure held for the Eltra CS-i</w:t>
      </w:r>
    </w:p>
    <w:p>
      <w:pPr>
        <w:pStyle w:val="ListParagraph"/>
        <w:numPr>
          <w:ilvl w:val="0"/>
          <w:numId w:val="1"/>
        </w:numPr>
        <w:spacing w:after="60" w:line="245"/>
      </w:pPr>
      <w:r>
        <w:rPr>
          <w:rFonts w:ascii="Calibri" w:cs="Calibri" w:eastAsia="Calibri" w:hAnsi="Calibri"/>
          <w:sz w:val="17"/>
          <w:szCs w:val="17"/>
        </w:rPr>
        <w:t xml:space="preserve">Heritage register line JSEA-PRO-LAB-303-012, tab JSEA_LAB / SWI-LAB</w:t>
      </w:r>
    </w:p>
    <w:p>
      <w:pPr>
        <w:pStyle w:val="ListParagraph"/>
        <w:numPr>
          <w:ilvl w:val="0"/>
          <w:numId w:val="1"/>
        </w:numPr>
        <w:spacing w:after="60" w:line="245"/>
      </w:pPr>
      <w:r>
        <w:rPr>
          <w:rFonts w:ascii="Calibri" w:cs="Calibri" w:eastAsia="Calibri" w:hAnsi="Calibri"/>
          <w:sz w:val="17"/>
          <w:szCs w:val="17"/>
        </w:rPr>
        <w:t xml:space="preserve">ILS quote Q0023979: 2-stage pure oxygen/argon regulator, acetylene regulators and flashback arrestors; KBK AAS-SOP-066 is the pattern</w:t>
      </w:r>
    </w:p>
    <w:p>
      <w:pPr>
        <w:pStyle w:val="ListParagraph"/>
        <w:numPr>
          <w:ilvl w:val="0"/>
          <w:numId w:val="1"/>
        </w:numPr>
        <w:spacing w:after="60" w:line="245"/>
      </w:pPr>
      <w:r>
        <w:rPr>
          <w:rFonts w:ascii="Calibri" w:cs="Calibri" w:eastAsia="Calibri" w:hAnsi="Calibri"/>
          <w:sz w:val="17"/>
          <w:szCs w:val="17"/>
        </w:rPr>
        <w:t xml:space="preserve">Heritage register line JSEA-PRO-LAB-303-013, tab JSEA_LAB / SWI-LAB</w:t>
      </w:r>
    </w:p>
    <w:p>
      <w:pPr>
        <w:pStyle w:val="ListParagraph"/>
        <w:numPr>
          <w:ilvl w:val="0"/>
          <w:numId w:val="1"/>
        </w:numPr>
        <w:spacing w:after="60" w:line="245"/>
      </w:pPr>
      <w:r>
        <w:rPr>
          <w:rFonts w:ascii="Calibri" w:cs="Calibri" w:eastAsia="Calibri" w:hAnsi="Calibri"/>
          <w:sz w:val="17"/>
          <w:szCs w:val="17"/>
        </w:rPr>
        <w:t xml:space="preserve">ILS quote Q0023979: 2 x Riello UPS 2200VA and 2 x blower and vent assemblies for the AAS. No check procedure held</w:t>
      </w:r>
    </w:p>
    <w:p>
      <w:pPr>
        <w:pStyle w:val="ListParagraph"/>
        <w:numPr>
          <w:ilvl w:val="0"/>
          <w:numId w:val="1"/>
        </w:numPr>
        <w:spacing w:after="60" w:line="245"/>
      </w:pPr>
      <w:r>
        <w:rPr>
          <w:rFonts w:ascii="Calibri" w:cs="Calibri" w:eastAsia="Calibri" w:hAnsi="Calibri"/>
          <w:sz w:val="17"/>
          <w:szCs w:val="17"/>
        </w:rPr>
        <w:t xml:space="preserve">Heritage register line JSEA-PRO-LAB-303-014, tab JSEA_LAB / SWI-LAB</w:t>
      </w:r>
    </w:p>
    <w:p>
      <w:pPr>
        <w:pStyle w:val="Heading1"/>
        <w:spacing w:after="120" w:before="260"/>
      </w:pPr>
      <w:r>
        <w:rPr>
          <w:rFonts w:ascii="Calibri" w:cs="Calibri" w:eastAsia="Calibri" w:hAnsi="Calibri"/>
          <w:b/>
          <w:bCs/>
          <w:color w:val="1F3864"/>
          <w:sz w:val="24"/>
          <w:szCs w:val="24"/>
        </w:rPr>
        <w:t xml:space="preserve">10  REVIEW</w:t>
      </w:r>
    </w:p>
    <w:p>
      <w:pPr>
        <w:spacing w:after="60" w:before="0" w:line="245"/>
      </w:pPr>
      <w:r>
        <w:rPr>
          <w:rFonts w:ascii="Calibri" w:cs="Calibri" w:eastAsia="Calibri" w:hAnsi="Calibri"/>
          <w:sz w:val="17"/>
          <w:szCs w:val="17"/>
        </w:rPr>
        <w:t xml:space="preserve">This procedure and the documents beneath it are reviewed every 12 months, and immediately after any incident, plant change, equipment change or change to the schedule.</w:t>
      </w:r>
    </w:p>
    <w:p>
      <w:pPr>
        <w:pStyle w:val="Heading1"/>
        <w:spacing w:after="120" w:before="260"/>
      </w:pPr>
      <w:r>
        <w:rPr>
          <w:rFonts w:ascii="Calibri" w:cs="Calibri" w:eastAsia="Calibri" w:hAnsi="Calibri"/>
          <w:b/>
          <w:bCs/>
          <w:color w:val="1F3864"/>
          <w:sz w:val="24"/>
          <w:szCs w:val="24"/>
        </w:rPr>
        <w:t xml:space="preserve">11  REGISTER TRACEABILITY</w:t>
      </w:r>
    </w:p>
    <w:p>
      <w:pPr>
        <w:spacing w:after="60" w:before="0" w:line="245"/>
      </w:pPr>
      <w:r>
        <w:rPr>
          <w:rFonts w:ascii="Calibri" w:cs="Calibri" w:eastAsia="Calibri" w:hAnsi="Calibri"/>
          <w:sz w:val="17"/>
          <w:szCs w:val="17"/>
        </w:rPr>
        <w:t xml:space="preserve">The three-digit suffix is shared between the two registers, so SWI-PRO-LAB-303-011 is the work instruction for JSEA-PRO-LAB-303-011.</w:t>
      </w:r>
    </w:p>
    <w:p>
      <w:pPr>
        <w:spacing w:after="60" w:before="0" w:line="245"/>
      </w:pPr>
      <w:r>
        <w:rPr>
          <w:rFonts w:ascii="Calibri" w:cs="Calibri" w:eastAsia="Calibri" w:hAnsi="Calibri"/>
          <w:sz w:val="17"/>
          <w:szCs w:val="17"/>
        </w:rPr>
        <w:t xml:space="preserve">Registers: HM-MMM-WHS-REG-JSEA-PRO-updated_10.xlsx tab JSEA_LAB, and HM-MMM-WHS-REG-XXX-R00-SWI-SWMS.xlsx tab SWI-LAB. GGT working masters are MM-4034-033-OR-03-JSEA-Register-RevF.xlsx and MM-4034-033-OR-03-SWI-Register-RevF.xlsx.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3826"/>
      </w:tblGrid>
      <w:tr>
        <w:trPr>
          <w:tblHeader/>
        </w:trPr>
        <w:tc>
          <w:tcPr>
            <w:tcW w:type="dxa" w:w="52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Item</w:t>
            </w:r>
          </w:p>
        </w:tc>
        <w:tc>
          <w:tcPr>
            <w:tcW w:type="dxa" w:w="38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Count</w:t>
            </w:r>
          </w:p>
        </w:tc>
      </w:tr>
      <w:tr>
        <w:tc>
          <w:tcPr>
            <w:tcW w:type="dxa" w:w="5200"/>
            <w:tcMar>
              <w:top w:type="dxa" w:w="55"/>
              <w:left w:type="dxa" w:w="85"/>
              <w:bottom w:type="dxa" w:w="55"/>
              <w:right w:type="dxa" w:w="85"/>
            </w:tcMar>
          </w:tcPr>
          <w:p>
            <w:pPr>
              <w:spacing w:after="0" w:line="235"/>
            </w:pPr>
            <w:r>
              <w:rPr>
                <w:rFonts w:ascii="Calibri" w:cs="Calibri" w:eastAsia="Calibri" w:hAnsi="Calibri"/>
                <w:sz w:val="16"/>
                <w:szCs w:val="16"/>
              </w:rPr>
              <w:t xml:space="preserve">Register lines in area 303</w:t>
            </w:r>
          </w:p>
        </w:tc>
        <w:tc>
          <w:tcPr>
            <w:tcW w:type="dxa" w:w="3826"/>
            <w:tcMar>
              <w:top w:type="dxa" w:w="55"/>
              <w:left w:type="dxa" w:w="85"/>
              <w:bottom w:type="dxa" w:w="55"/>
              <w:right w:type="dxa" w:w="85"/>
            </w:tcMar>
          </w:tcPr>
          <w:p>
            <w:pPr>
              <w:spacing w:after="0" w:line="235"/>
            </w:pPr>
            <w:r>
              <w:rPr>
                <w:rFonts w:ascii="Calibri" w:cs="Calibri" w:eastAsia="Calibri" w:hAnsi="Calibri"/>
                <w:sz w:val="16"/>
                <w:szCs w:val="16"/>
              </w:rPr>
              <w:t xml:space="preserve">14</w:t>
            </w:r>
          </w:p>
        </w:tc>
      </w:tr>
      <w:tr>
        <w:tc>
          <w:tcPr>
            <w:tcW w:type="dxa" w:w="5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Hazard analyses issued</w:t>
            </w:r>
          </w:p>
        </w:tc>
        <w:tc>
          <w:tcPr>
            <w:tcW w:type="dxa" w:w="3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14</w:t>
            </w:r>
          </w:p>
        </w:tc>
      </w:tr>
      <w:tr>
        <w:tc>
          <w:tcPr>
            <w:tcW w:type="dxa" w:w="5200"/>
            <w:tcMar>
              <w:top w:type="dxa" w:w="55"/>
              <w:left w:type="dxa" w:w="85"/>
              <w:bottom w:type="dxa" w:w="55"/>
              <w:right w:type="dxa" w:w="85"/>
            </w:tcMar>
          </w:tcPr>
          <w:p>
            <w:pPr>
              <w:spacing w:after="0" w:line="235"/>
            </w:pPr>
            <w:r>
              <w:rPr>
                <w:rFonts w:ascii="Calibri" w:cs="Calibri" w:eastAsia="Calibri" w:hAnsi="Calibri"/>
                <w:sz w:val="16"/>
                <w:szCs w:val="16"/>
              </w:rPr>
              <w:t xml:space="preserve">Work instructions issued</w:t>
            </w:r>
          </w:p>
        </w:tc>
        <w:tc>
          <w:tcPr>
            <w:tcW w:type="dxa" w:w="3826"/>
            <w:tcMar>
              <w:top w:type="dxa" w:w="55"/>
              <w:left w:type="dxa" w:w="85"/>
              <w:bottom w:type="dxa" w:w="55"/>
              <w:right w:type="dxa" w:w="85"/>
            </w:tcMar>
          </w:tcPr>
          <w:p>
            <w:pPr>
              <w:spacing w:after="0" w:line="235"/>
            </w:pPr>
            <w:r>
              <w:rPr>
                <w:rFonts w:ascii="Calibri" w:cs="Calibri" w:eastAsia="Calibri" w:hAnsi="Calibri"/>
                <w:sz w:val="16"/>
                <w:szCs w:val="16"/>
              </w:rPr>
              <w:t xml:space="preserve">13</w:t>
            </w:r>
          </w:p>
        </w:tc>
      </w:tr>
      <w:tr>
        <w:tc>
          <w:tcPr>
            <w:tcW w:type="dxa" w:w="5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Desk-based tasks with a JSEA but no work instruction</w:t>
            </w:r>
          </w:p>
        </w:tc>
        <w:tc>
          <w:tcPr>
            <w:tcW w:type="dxa" w:w="3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1</w:t>
            </w:r>
          </w:p>
        </w:tc>
      </w:tr>
      <w:tr>
        <w:tc>
          <w:tcPr>
            <w:tcW w:type="dxa" w:w="5200"/>
            <w:tcMar>
              <w:top w:type="dxa" w:w="55"/>
              <w:left w:type="dxa" w:w="85"/>
              <w:bottom w:type="dxa" w:w="55"/>
              <w:right w:type="dxa" w:w="85"/>
            </w:tcMar>
          </w:tcPr>
          <w:p>
            <w:pPr>
              <w:spacing w:after="0" w:line="235"/>
            </w:pPr>
            <w:r>
              <w:rPr>
                <w:rFonts w:ascii="Calibri" w:cs="Calibri" w:eastAsia="Calibri" w:hAnsi="Calibri"/>
                <w:sz w:val="16"/>
                <w:szCs w:val="16"/>
              </w:rPr>
              <w:t xml:space="preserve">Safety-critical</w:t>
            </w:r>
          </w:p>
        </w:tc>
        <w:tc>
          <w:tcPr>
            <w:tcW w:type="dxa" w:w="3826"/>
            <w:tcMar>
              <w:top w:type="dxa" w:w="55"/>
              <w:left w:type="dxa" w:w="85"/>
              <w:bottom w:type="dxa" w:w="55"/>
              <w:right w:type="dxa" w:w="85"/>
            </w:tcMar>
          </w:tcPr>
          <w:p>
            <w:pPr>
              <w:spacing w:after="0" w:line="235"/>
            </w:pPr>
            <w:r>
              <w:rPr>
                <w:rFonts w:ascii="Calibri" w:cs="Calibri" w:eastAsia="Calibri" w:hAnsi="Calibri"/>
                <w:sz w:val="16"/>
                <w:szCs w:val="16"/>
              </w:rPr>
              <w:t xml:space="preserve">11</w:t>
            </w:r>
          </w:p>
        </w:tc>
      </w:tr>
      <w:tr>
        <w:tc>
          <w:tcPr>
            <w:tcW w:type="dxa" w:w="5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Issued but NOT FOR USE</w:t>
            </w:r>
          </w:p>
        </w:tc>
        <w:tc>
          <w:tcPr>
            <w:tcW w:type="dxa" w:w="3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4</w:t>
            </w:r>
          </w:p>
        </w:tc>
      </w:tr>
    </w:tbl>
    <w:p>
      <w:pPr>
        <w:spacing w:after="60" w:before="0" w:line="245"/>
      </w:pP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HM-PRC-VXX-PRO214  ·  Laboratory Instrumental Analysis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