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PROCEDURE</w:t>
      </w:r>
    </w:p>
    <w:p>
      <w:pPr>
        <w:pBdr>
          <w:bottom w:val="single" w:sz="8" w:space="4" w:color="1F3864"/>
        </w:pBdr>
        <w:spacing w:after="80" w:before="0" w:line="300"/>
      </w:pPr>
      <w:r>
        <w:rPr>
          <w:rFonts w:ascii="Calibri" w:cs="Calibri" w:eastAsia="Calibri" w:hAnsi="Calibri"/>
          <w:b/>
          <w:bCs/>
          <w:color w:val="1F3864"/>
          <w:sz w:val="32"/>
          <w:szCs w:val="32"/>
        </w:rPr>
        <w:t xml:space="preserve">Laboratory Services, Safety and Quality</w:t>
      </w:r>
    </w:p>
    <w:p>
      <w:pPr>
        <w:spacing w:after="140" w:before="0" w:line="245"/>
      </w:pPr>
      <w:r>
        <w:rPr>
          <w:rFonts w:ascii="Calibri" w:cs="Calibri" w:eastAsia="Calibri" w:hAnsi="Calibri"/>
          <w:color w:val="555555"/>
          <w:sz w:val="17"/>
          <w:szCs w:val="17"/>
        </w:rPr>
        <w:t xml:space="preserve">Standard Work Procedure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HM-PRC-VXX-PRO216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Title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Laboratory Services, Safety and Quality</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Scope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Laboratory services, safety and quality - quality control and control charts, umpire assay management, chemical store and dangerous goods, cyanide handling, gas alarm response, emergency showers, ventilation and scrubber, waste, housekeeping, gold security, the maintenance and calibration register, compressed air and the pressure vessel, emergency equipment, and equipment commissioning.</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Register 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305 Laboratory Services, on tabs JSEA_LAB and SWI-LAB</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Hazard analyses beneath</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16 (JSEA-PRO-LAB-305-001 to -016)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Work instructions beneath</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12</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Process owner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Heritage Mineral Operations  ·  Business unit Mt. Morgan</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owner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Process Operations Superintendent</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approver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Process Manager</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p>
      <w:pPr>
        <w:pStyle w:val="Heading1"/>
        <w:spacing w:after="120" w:before="260"/>
      </w:pPr>
      <w:r>
        <w:rPr>
          <w:rFonts w:ascii="Calibri" w:cs="Calibri" w:eastAsia="Calibri" w:hAnsi="Calibri"/>
          <w:b/>
          <w:bCs/>
          <w:color w:val="1F3864"/>
          <w:sz w:val="24"/>
          <w:szCs w:val="24"/>
        </w:rPr>
        <w:t xml:space="preserve">1  PURPOSE / SCOPE</w:t>
      </w:r>
    </w:p>
    <w:p>
      <w:pPr>
        <w:spacing w:after="60" w:before="0" w:line="245"/>
      </w:pPr>
      <w:r>
        <w:rPr>
          <w:rFonts w:ascii="Calibri" w:cs="Calibri" w:eastAsia="Calibri" w:hAnsi="Calibri"/>
          <w:sz w:val="17"/>
          <w:szCs w:val="17"/>
        </w:rPr>
        <w:t xml:space="preserve">This procedure covers laboratory services, safety and quality at the Mt. Morgan processing plant. It is the procedure that the 16 hazard analyses and 12 work instructions in register area 305 sit under.</w:t>
      </w:r>
    </w:p>
    <w:p>
      <w:pPr>
        <w:spacing w:after="60" w:before="0" w:line="245"/>
      </w:pPr>
      <w:r>
        <w:rPr>
          <w:rFonts w:ascii="Calibri" w:cs="Calibri" w:eastAsia="Calibri" w:hAnsi="Calibri"/>
          <w:sz w:val="17"/>
          <w:szCs w:val="17"/>
        </w:rPr>
        <w:t xml:space="preserve">Laboratory services, safety and quality - quality control and control charts, umpire assay management, chemical store and dangerous goods, cyanide handling, gas alarm response, emergency showers, ventilation and scrubber, waste, housekeeping, gold security, the maintenance and calibration register, compressed air and the pressure vessel, emergency equipment, and equipment commissioning.</w:t>
      </w:r>
    </w:p>
    <w:p>
      <w:pPr>
        <w:pStyle w:val="Heading1"/>
        <w:spacing w:after="120" w:before="260"/>
      </w:pPr>
      <w:r>
        <w:rPr>
          <w:rFonts w:ascii="Calibri" w:cs="Calibri" w:eastAsia="Calibri" w:hAnsi="Calibri"/>
          <w:b/>
          <w:bCs/>
          <w:color w:val="1F3864"/>
          <w:sz w:val="24"/>
          <w:szCs w:val="24"/>
        </w:rPr>
        <w:t xml:space="preserve">2  RESPONSIBILITIES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Role</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Responsibilities</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Laboratory Technician</w:t>
            </w:r>
          </w:p>
        </w:tc>
        <w:tc>
          <w:tcPr>
            <w:tcW w:type="dxa" w:w="6426"/>
            <w:tcMar>
              <w:top w:type="dxa" w:w="55"/>
              <w:left w:type="dxa" w:w="85"/>
              <w:bottom w:type="dxa" w:w="55"/>
              <w:right w:type="dxa" w:w="85"/>
            </w:tcMar>
          </w:tcPr>
          <w:p>
            <w:pPr>
              <w:spacing w:after="30" w:line="235"/>
            </w:pPr>
            <w:r>
              <w:rPr>
                <w:rFonts w:ascii="Calibri" w:cs="Calibri" w:eastAsia="Calibri" w:hAnsi="Calibri"/>
                <w:sz w:val="16"/>
                <w:szCs w:val="16"/>
              </w:rPr>
              <w:t xml:space="preserve">Carry out the task to the schedule and to the work instruction.</w:t>
            </w:r>
          </w:p>
          <w:p>
            <w:pPr>
              <w:spacing w:after="30" w:line="235"/>
            </w:pPr>
            <w:r>
              <w:rPr>
                <w:rFonts w:ascii="Calibri" w:cs="Calibri" w:eastAsia="Calibri" w:hAnsi="Calibri"/>
                <w:sz w:val="16"/>
                <w:szCs w:val="16"/>
              </w:rPr>
              <w:t xml:space="preserve">Only carry out work where competent and authorised to do so.</w:t>
            </w:r>
          </w:p>
          <w:p>
            <w:pPr>
              <w:spacing w:after="30" w:line="235"/>
            </w:pPr>
            <w:r>
              <w:rPr>
                <w:rFonts w:ascii="Calibri" w:cs="Calibri" w:eastAsia="Calibri" w:hAnsi="Calibri"/>
                <w:sz w:val="16"/>
                <w:szCs w:val="16"/>
              </w:rPr>
              <w:t xml:space="preserve">Record what was actually done. Work not done is recorded as not done - never invented and never back-filled.</w:t>
            </w:r>
          </w:p>
          <w:p>
            <w:pPr>
              <w:spacing w:after="0" w:line="235"/>
            </w:pPr>
            <w:r>
              <w:rPr>
                <w:rFonts w:ascii="Calibri" w:cs="Calibri" w:eastAsia="Calibri" w:hAnsi="Calibri"/>
                <w:sz w:val="16"/>
                <w:szCs w:val="16"/>
              </w:rPr>
              <w:t xml:space="preserve">Stop and report if any control in the JSEA is not in place.</w:t>
            </w:r>
          </w:p>
        </w:tc>
      </w:tr>
      <w:tr>
        <w:tc>
          <w:tcPr>
            <w:tcW w:type="dxa" w:w="26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Laboratory Supervisor</w:t>
            </w:r>
          </w:p>
        </w:tc>
        <w:tc>
          <w:tcPr>
            <w:tcW w:type="dxa" w:w="6426"/>
            <w:shd w:val="clear" w:color="auto" w:fill="F2F5FA"/>
            <w:tcMar>
              <w:top w:type="dxa" w:w="55"/>
              <w:left w:type="dxa" w:w="85"/>
              <w:bottom w:type="dxa" w:w="55"/>
              <w:right w:type="dxa" w:w="85"/>
            </w:tcMar>
          </w:tcPr>
          <w:p>
            <w:pPr>
              <w:spacing w:after="30" w:line="235"/>
            </w:pPr>
            <w:r>
              <w:rPr>
                <w:rFonts w:ascii="Calibri" w:cs="Calibri" w:eastAsia="Calibri" w:hAnsi="Calibri"/>
                <w:sz w:val="16"/>
                <w:szCs w:val="16"/>
              </w:rPr>
              <w:t xml:space="preserve">Authorise the task and confirm the area is fit before it starts.</w:t>
            </w:r>
          </w:p>
          <w:p>
            <w:pPr>
              <w:spacing w:after="30" w:line="235"/>
            </w:pPr>
            <w:r>
              <w:rPr>
                <w:rFonts w:ascii="Calibri" w:cs="Calibri" w:eastAsia="Calibri" w:hAnsi="Calibri"/>
                <w:sz w:val="16"/>
                <w:szCs w:val="16"/>
              </w:rPr>
              <w:t xml:space="preserve">Know that the task is in progress and where the person is.</w:t>
            </w:r>
          </w:p>
          <w:p>
            <w:pPr>
              <w:spacing w:after="30" w:line="235"/>
            </w:pPr>
            <w:r>
              <w:rPr>
                <w:rFonts w:ascii="Calibri" w:cs="Calibri" w:eastAsia="Calibri" w:hAnsi="Calibri"/>
                <w:sz w:val="16"/>
                <w:szCs w:val="16"/>
              </w:rPr>
              <w:t xml:space="preserve">Understand that much of the plant is automated and equipment may start or stop without warning.</w:t>
            </w:r>
          </w:p>
          <w:p>
            <w:pPr>
              <w:spacing w:after="0" w:line="235"/>
            </w:pPr>
            <w:r>
              <w:rPr>
                <w:rFonts w:ascii="Calibri" w:cs="Calibri" w:eastAsia="Calibri" w:hAnsi="Calibri"/>
                <w:sz w:val="16"/>
                <w:szCs w:val="16"/>
              </w:rPr>
              <w:t xml:space="preserve">Act on any off-specification result reported from the task.</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Chief Chemist / Metallurgist</w:t>
            </w:r>
          </w:p>
        </w:tc>
        <w:tc>
          <w:tcPr>
            <w:tcW w:type="dxa" w:w="6426"/>
            <w:tcMar>
              <w:top w:type="dxa" w:w="55"/>
              <w:left w:type="dxa" w:w="85"/>
              <w:bottom w:type="dxa" w:w="55"/>
              <w:right w:type="dxa" w:w="85"/>
            </w:tcMar>
          </w:tcPr>
          <w:p>
            <w:pPr>
              <w:spacing w:after="30" w:line="235"/>
            </w:pPr>
            <w:r>
              <w:rPr>
                <w:rFonts w:ascii="Calibri" w:cs="Calibri" w:eastAsia="Calibri" w:hAnsi="Calibri"/>
                <w:sz w:val="16"/>
                <w:szCs w:val="16"/>
              </w:rPr>
              <w:t xml:space="preserve">Set and maintain the schedule - what is done, how often, and what is reported.</w:t>
            </w:r>
          </w:p>
          <w:p>
            <w:pPr>
              <w:spacing w:after="30" w:line="235"/>
            </w:pPr>
            <w:r>
              <w:rPr>
                <w:rFonts w:ascii="Calibri" w:cs="Calibri" w:eastAsia="Calibri" w:hAnsi="Calibri"/>
                <w:sz w:val="16"/>
                <w:szCs w:val="16"/>
              </w:rPr>
              <w:t xml:space="preserve">Review the results and act on the trends.</w:t>
            </w:r>
          </w:p>
          <w:p>
            <w:pPr>
              <w:spacing w:after="0" w:line="235"/>
            </w:pPr>
            <w:r>
              <w:rPr>
                <w:rFonts w:ascii="Calibri" w:cs="Calibri" w:eastAsia="Calibri" w:hAnsi="Calibri"/>
                <w:sz w:val="16"/>
                <w:szCs w:val="16"/>
              </w:rPr>
              <w:t xml:space="preserve">Investigate any variance outside the agreed tolerance before a period is closed.</w:t>
            </w:r>
          </w:p>
        </w:tc>
      </w:tr>
      <w:tr>
        <w:tc>
          <w:tcPr>
            <w:tcW w:type="dxa" w:w="26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Laboratory Manager / Superintendent</w:t>
            </w:r>
          </w:p>
        </w:tc>
        <w:tc>
          <w:tcPr>
            <w:tcW w:type="dxa" w:w="6426"/>
            <w:shd w:val="clear" w:color="auto" w:fill="F2F5FA"/>
            <w:tcMar>
              <w:top w:type="dxa" w:w="55"/>
              <w:left w:type="dxa" w:w="85"/>
              <w:bottom w:type="dxa" w:w="55"/>
              <w:right w:type="dxa" w:w="85"/>
            </w:tcMar>
          </w:tcPr>
          <w:p>
            <w:pPr>
              <w:spacing w:after="30" w:line="235"/>
            </w:pPr>
            <w:r>
              <w:rPr>
                <w:rFonts w:ascii="Calibri" w:cs="Calibri" w:eastAsia="Calibri" w:hAnsi="Calibri"/>
                <w:sz w:val="16"/>
                <w:szCs w:val="16"/>
              </w:rPr>
              <w:t xml:space="preserve">Ensure all personnel are trained and competent.</w:t>
            </w:r>
          </w:p>
          <w:p>
            <w:pPr>
              <w:spacing w:after="30" w:line="235"/>
            </w:pPr>
            <w:r>
              <w:rPr>
                <w:rFonts w:ascii="Calibri" w:cs="Calibri" w:eastAsia="Calibri" w:hAnsi="Calibri"/>
                <w:sz w:val="16"/>
                <w:szCs w:val="16"/>
              </w:rPr>
              <w:t xml:space="preserve">Ensure this procedure and the documents beneath it are reviewed at the stated interval.</w:t>
            </w:r>
          </w:p>
          <w:p>
            <w:pPr>
              <w:spacing w:after="0" w:line="235"/>
            </w:pPr>
            <w:r>
              <w:rPr>
                <w:rFonts w:ascii="Calibri" w:cs="Calibri" w:eastAsia="Calibri" w:hAnsi="Calibri"/>
                <w:sz w:val="16"/>
                <w:szCs w:val="16"/>
              </w:rPr>
              <w:t xml:space="preserve">Approve the risk ranking in the JSEAs.</w:t>
            </w:r>
          </w:p>
        </w:tc>
      </w:tr>
    </w:tbl>
    <w:p>
      <w:pPr>
        <w:spacing w:after="60" w:before="0" w:line="245"/>
      </w:pPr>
    </w:p>
    <w:p>
      <w:pPr>
        <w:pStyle w:val="Heading1"/>
        <w:spacing w:after="120" w:before="260"/>
      </w:pPr>
      <w:r>
        <w:rPr>
          <w:rFonts w:ascii="Calibri" w:cs="Calibri" w:eastAsia="Calibri" w:hAnsi="Calibri"/>
          <w:b/>
          <w:bCs/>
          <w:color w:val="1F3864"/>
          <w:sz w:val="24"/>
          <w:szCs w:val="24"/>
        </w:rPr>
        <w:t xml:space="preserve">3  ABBREVIATIONS / DEFINITIONS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Term</w:t>
            </w:r>
          </w:p>
        </w:tc>
        <w:tc>
          <w:tcPr>
            <w:tcW w:type="dxa" w:w="68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Meaning</w:t>
            </w:r>
          </w:p>
        </w:tc>
      </w:tr>
      <w:tr>
        <w:tc>
          <w:tcPr>
            <w:tcW w:type="dxa" w:w="2200"/>
            <w:tcMar>
              <w:top w:type="dxa" w:w="55"/>
              <w:left w:type="dxa" w:w="85"/>
              <w:bottom w:type="dxa" w:w="55"/>
              <w:right w:type="dxa" w:w="85"/>
            </w:tcMar>
          </w:tcPr>
          <w:p>
            <w:pPr>
              <w:spacing w:after="0" w:line="235"/>
            </w:pPr>
            <w:r>
              <w:rPr>
                <w:rFonts w:ascii="Calibri" w:cs="Calibri" w:eastAsia="Calibri" w:hAnsi="Calibri"/>
                <w:sz w:val="16"/>
                <w:szCs w:val="16"/>
              </w:rPr>
              <w:t xml:space="preserve">JSEA</w:t>
            </w:r>
          </w:p>
        </w:tc>
        <w:tc>
          <w:tcPr>
            <w:tcW w:type="dxa" w:w="6826"/>
            <w:tcMar>
              <w:top w:type="dxa" w:w="55"/>
              <w:left w:type="dxa" w:w="85"/>
              <w:bottom w:type="dxa" w:w="55"/>
              <w:right w:type="dxa" w:w="85"/>
            </w:tcMar>
          </w:tcPr>
          <w:p>
            <w:pPr>
              <w:spacing w:after="0" w:line="235"/>
            </w:pPr>
            <w:r>
              <w:rPr>
                <w:rFonts w:ascii="Calibri" w:cs="Calibri" w:eastAsia="Calibri" w:hAnsi="Calibri"/>
                <w:sz w:val="16"/>
                <w:szCs w:val="16"/>
              </w:rPr>
              <w:t xml:space="preserve">Job safety and environmental analysis - one per task, giving the step-by-step hazards, controls and risk ranking.</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SWI</w:t>
            </w:r>
          </w:p>
        </w:tc>
        <w:tc>
          <w:tcPr>
            <w:tcW w:type="dxa" w:w="68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Standard work instruction - one per task, giving the step-by-step method.</w:t>
            </w:r>
          </w:p>
        </w:tc>
      </w:tr>
      <w:tr>
        <w:tc>
          <w:tcPr>
            <w:tcW w:type="dxa" w:w="2200"/>
            <w:tcMar>
              <w:top w:type="dxa" w:w="55"/>
              <w:left w:type="dxa" w:w="85"/>
              <w:bottom w:type="dxa" w:w="55"/>
              <w:right w:type="dxa" w:w="85"/>
            </w:tcMar>
          </w:tcPr>
          <w:p>
            <w:pPr>
              <w:spacing w:after="0" w:line="235"/>
            </w:pPr>
            <w:r>
              <w:rPr>
                <w:rFonts w:ascii="Calibri" w:cs="Calibri" w:eastAsia="Calibri" w:hAnsi="Calibri"/>
                <w:sz w:val="16"/>
                <w:szCs w:val="16"/>
              </w:rPr>
              <w:t xml:space="preserve">SWP</w:t>
            </w:r>
          </w:p>
        </w:tc>
        <w:tc>
          <w:tcPr>
            <w:tcW w:type="dxa" w:w="6826"/>
            <w:tcMar>
              <w:top w:type="dxa" w:w="55"/>
              <w:left w:type="dxa" w:w="85"/>
              <w:bottom w:type="dxa" w:w="55"/>
              <w:right w:type="dxa" w:w="85"/>
            </w:tcMar>
          </w:tcPr>
          <w:p>
            <w:pPr>
              <w:spacing w:after="0" w:line="235"/>
            </w:pPr>
            <w:r>
              <w:rPr>
                <w:rFonts w:ascii="Calibri" w:cs="Calibri" w:eastAsia="Calibri" w:hAnsi="Calibri"/>
                <w:sz w:val="16"/>
                <w:szCs w:val="16"/>
              </w:rPr>
              <w:t xml:space="preserve">Standard work procedure - this document.</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Steady state</w:t>
            </w:r>
          </w:p>
        </w:tc>
        <w:tc>
          <w:tcPr>
            <w:tcW w:type="dxa" w:w="68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Normal operation held for at least 15 to 20 minutes.</w:t>
            </w:r>
          </w:p>
        </w:tc>
      </w:tr>
      <w:tr>
        <w:tc>
          <w:tcPr>
            <w:tcW w:type="dxa" w:w="2200"/>
            <w:tcMar>
              <w:top w:type="dxa" w:w="55"/>
              <w:left w:type="dxa" w:w="85"/>
              <w:bottom w:type="dxa" w:w="55"/>
              <w:right w:type="dxa" w:w="85"/>
            </w:tcMar>
          </w:tcPr>
          <w:p>
            <w:pPr>
              <w:spacing w:after="0" w:line="235"/>
            </w:pPr>
            <w:r>
              <w:rPr>
                <w:rFonts w:ascii="Calibri" w:cs="Calibri" w:eastAsia="Calibri" w:hAnsi="Calibri"/>
                <w:sz w:val="16"/>
                <w:szCs w:val="16"/>
              </w:rPr>
              <w:t xml:space="preserve">ReCYN</w:t>
            </w:r>
          </w:p>
        </w:tc>
        <w:tc>
          <w:tcPr>
            <w:tcW w:type="dxa" w:w="6826"/>
            <w:tcMar>
              <w:top w:type="dxa" w:w="55"/>
              <w:left w:type="dxa" w:w="85"/>
              <w:bottom w:type="dxa" w:w="55"/>
              <w:right w:type="dxa" w:w="85"/>
            </w:tcMar>
          </w:tcPr>
          <w:p>
            <w:pPr>
              <w:spacing w:after="0" w:line="235"/>
            </w:pPr>
            <w:r>
              <w:rPr>
                <w:rFonts w:ascii="Calibri" w:cs="Calibri" w:eastAsia="Calibri" w:hAnsi="Calibri"/>
                <w:sz w:val="16"/>
                <w:szCs w:val="16"/>
              </w:rPr>
              <w:t xml:space="preserve">The resin-in-pulp cyanide and metal recovery process in Areas 041, 051, 071 and 081.</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CN Free / WAD CN</w:t>
            </w:r>
          </w:p>
        </w:tc>
        <w:tc>
          <w:tcPr>
            <w:tcW w:type="dxa" w:w="68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Free cyanide by silver nitrate titration; weak acid dissociable cyanide by distillation.</w:t>
            </w:r>
          </w:p>
        </w:tc>
      </w:tr>
    </w:tbl>
    <w:p>
      <w:pPr>
        <w:spacing w:after="60" w:before="0" w:line="245"/>
      </w:pPr>
    </w:p>
    <w:p>
      <w:pPr>
        <w:pStyle w:val="Heading1"/>
        <w:spacing w:after="120" w:before="260"/>
      </w:pPr>
      <w:r>
        <w:rPr>
          <w:rFonts w:ascii="Calibri" w:cs="Calibri" w:eastAsia="Calibri" w:hAnsi="Calibri"/>
          <w:b/>
          <w:bCs/>
          <w:color w:val="1F3864"/>
          <w:sz w:val="24"/>
          <w:szCs w:val="24"/>
        </w:rPr>
        <w:t xml:space="preserve">4  POTENTIAL HAZARDS</w:t>
      </w:r>
    </w:p>
    <w:p>
      <w:pPr>
        <w:spacing w:after="60" w:before="0" w:line="245"/>
      </w:pPr>
      <w:r>
        <w:rPr>
          <w:rFonts w:ascii="Calibri" w:cs="Calibri" w:eastAsia="Calibri" w:hAnsi="Calibri"/>
          <w:sz w:val="17"/>
          <w:szCs w:val="17"/>
        </w:rPr>
        <w:t xml:space="preserve">The step-by-step hazard analysis for each task, with the risk ranking, is in the JSEA for that task. The hazards common across this area are:</w:t>
      </w:r>
    </w:p>
    <w:p>
      <w:pPr>
        <w:pStyle w:val="ListParagraph"/>
        <w:numPr>
          <w:ilvl w:val="0"/>
          <w:numId w:val="1"/>
        </w:numPr>
        <w:spacing w:after="60" w:line="245"/>
      </w:pPr>
      <w:r>
        <w:rPr>
          <w:rFonts w:ascii="Calibri" w:cs="Calibri" w:eastAsia="Calibri" w:hAnsi="Calibri"/>
          <w:sz w:val="17"/>
          <w:szCs w:val="17"/>
        </w:rPr>
        <w:t xml:space="preserve">Cross-contamination from a container or cutter not cleaned between points</w:t>
      </w:r>
    </w:p>
    <w:p>
      <w:pPr>
        <w:pStyle w:val="ListParagraph"/>
        <w:numPr>
          <w:ilvl w:val="0"/>
          <w:numId w:val="1"/>
        </w:numPr>
        <w:spacing w:after="60" w:line="245"/>
      </w:pPr>
      <w:r>
        <w:rPr>
          <w:rFonts w:ascii="Calibri" w:cs="Calibri" w:eastAsia="Calibri" w:hAnsi="Calibri"/>
          <w:sz w:val="17"/>
          <w:szCs w:val="17"/>
        </w:rPr>
        <w:t xml:space="preserve">Non-representative sample leading to a wrong process decision</w:t>
      </w:r>
    </w:p>
    <w:p>
      <w:pPr>
        <w:pStyle w:val="ListParagraph"/>
        <w:numPr>
          <w:ilvl w:val="0"/>
          <w:numId w:val="1"/>
        </w:numPr>
        <w:spacing w:after="60" w:line="245"/>
      </w:pPr>
      <w:r>
        <w:rPr>
          <w:rFonts w:ascii="Calibri" w:cs="Calibri" w:eastAsia="Calibri" w:hAnsi="Calibri"/>
          <w:sz w:val="17"/>
          <w:szCs w:val="17"/>
        </w:rPr>
        <w:t xml:space="preserve">An accounting or reconciliation error that hides a real metal loss</w:t>
      </w:r>
    </w:p>
    <w:p>
      <w:pPr>
        <w:pStyle w:val="ListParagraph"/>
        <w:numPr>
          <w:ilvl w:val="0"/>
          <w:numId w:val="1"/>
        </w:numPr>
        <w:spacing w:after="60" w:line="245"/>
      </w:pPr>
      <w:r>
        <w:rPr>
          <w:rFonts w:ascii="Calibri" w:cs="Calibri" w:eastAsia="Calibri" w:hAnsi="Calibri"/>
          <w:sz w:val="17"/>
          <w:szCs w:val="17"/>
        </w:rPr>
        <w:t xml:space="preserve">Exposure to a gold security incident, and to suspicion in one</w:t>
      </w:r>
    </w:p>
    <w:p>
      <w:pPr>
        <w:pStyle w:val="ListParagraph"/>
        <w:numPr>
          <w:ilvl w:val="0"/>
          <w:numId w:val="1"/>
        </w:numPr>
        <w:spacing w:after="60" w:line="245"/>
      </w:pPr>
      <w:r>
        <w:rPr>
          <w:rFonts w:ascii="Calibri" w:cs="Calibri" w:eastAsia="Calibri" w:hAnsi="Calibri"/>
          <w:sz w:val="17"/>
          <w:szCs w:val="17"/>
        </w:rPr>
        <w:t xml:space="preserve">Contact with sulphuric or hydrochloric acid - burn to skin or eyes</w:t>
      </w:r>
    </w:p>
    <w:p>
      <w:pPr>
        <w:pStyle w:val="ListParagraph"/>
        <w:numPr>
          <w:ilvl w:val="0"/>
          <w:numId w:val="1"/>
        </w:numPr>
        <w:spacing w:after="60" w:line="245"/>
      </w:pPr>
      <w:r>
        <w:rPr>
          <w:rFonts w:ascii="Calibri" w:cs="Calibri" w:eastAsia="Calibri" w:hAnsi="Calibri"/>
          <w:sz w:val="17"/>
          <w:szCs w:val="17"/>
        </w:rPr>
        <w:t xml:space="preserve">Contact with sodium hydroxide solution - burn to skin or eyes</w:t>
      </w:r>
    </w:p>
    <w:p>
      <w:pPr>
        <w:pStyle w:val="ListParagraph"/>
        <w:numPr>
          <w:ilvl w:val="0"/>
          <w:numId w:val="1"/>
        </w:numPr>
        <w:spacing w:after="60" w:line="245"/>
      </w:pPr>
      <w:r>
        <w:rPr>
          <w:rFonts w:ascii="Calibri" w:cs="Calibri" w:eastAsia="Calibri" w:hAnsi="Calibri"/>
          <w:sz w:val="17"/>
          <w:szCs w:val="17"/>
        </w:rPr>
        <w:t xml:space="preserve">Hydrogen cyanide gas released at the open sample point</w:t>
      </w:r>
    </w:p>
    <w:p>
      <w:pPr>
        <w:pStyle w:val="ListParagraph"/>
        <w:numPr>
          <w:ilvl w:val="0"/>
          <w:numId w:val="1"/>
        </w:numPr>
        <w:spacing w:after="60" w:line="245"/>
      </w:pPr>
      <w:r>
        <w:rPr>
          <w:rFonts w:ascii="Calibri" w:cs="Calibri" w:eastAsia="Calibri" w:hAnsi="Calibri"/>
          <w:sz w:val="17"/>
          <w:szCs w:val="17"/>
        </w:rPr>
        <w:t xml:space="preserve">Manual handling injury from carrying sample buckets, containers and composite drums</w:t>
      </w:r>
    </w:p>
    <w:p>
      <w:pPr>
        <w:pStyle w:val="ListParagraph"/>
        <w:numPr>
          <w:ilvl w:val="0"/>
          <w:numId w:val="1"/>
        </w:numPr>
        <w:spacing w:after="60" w:line="245"/>
      </w:pPr>
      <w:r>
        <w:rPr>
          <w:rFonts w:ascii="Calibri" w:cs="Calibri" w:eastAsia="Calibri" w:hAnsi="Calibri"/>
          <w:sz w:val="17"/>
          <w:szCs w:val="17"/>
        </w:rPr>
        <w:t xml:space="preserve">Inhalation of acid fume or reagent vapour at the bench</w:t>
      </w:r>
    </w:p>
    <w:p>
      <w:pPr>
        <w:pStyle w:val="ListParagraph"/>
        <w:numPr>
          <w:ilvl w:val="0"/>
          <w:numId w:val="1"/>
        </w:numPr>
        <w:spacing w:after="60" w:line="245"/>
      </w:pPr>
      <w:r>
        <w:rPr>
          <w:rFonts w:ascii="Calibri" w:cs="Calibri" w:eastAsia="Calibri" w:hAnsi="Calibri"/>
          <w:sz w:val="17"/>
          <w:szCs w:val="17"/>
        </w:rPr>
        <w:t xml:space="preserve">Cuts from broken glassware, and burns from hot glassware</w:t>
      </w:r>
    </w:p>
    <w:p>
      <w:pPr>
        <w:pStyle w:val="ListParagraph"/>
        <w:numPr>
          <w:ilvl w:val="0"/>
          <w:numId w:val="1"/>
        </w:numPr>
        <w:spacing w:after="60" w:line="245"/>
      </w:pPr>
      <w:r>
        <w:rPr>
          <w:rFonts w:ascii="Calibri" w:cs="Calibri" w:eastAsia="Calibri" w:hAnsi="Calibri"/>
          <w:sz w:val="17"/>
          <w:szCs w:val="17"/>
        </w:rPr>
        <w:t xml:space="preserve">Splash of cyanide-bearing slurry or solution to skin or eyes</w:t>
      </w:r>
    </w:p>
    <w:p>
      <w:pPr>
        <w:pStyle w:val="ListParagraph"/>
        <w:numPr>
          <w:ilvl w:val="0"/>
          <w:numId w:val="1"/>
        </w:numPr>
        <w:spacing w:after="60" w:line="245"/>
      </w:pPr>
      <w:r>
        <w:rPr>
          <w:rFonts w:ascii="Calibri" w:cs="Calibri" w:eastAsia="Calibri" w:hAnsi="Calibri"/>
          <w:sz w:val="17"/>
          <w:szCs w:val="17"/>
        </w:rPr>
        <w:t xml:space="preserve">Slip, trip or fall on wet or slurry-covered walkways around sample points</w:t>
      </w:r>
    </w:p>
    <w:p>
      <w:pPr>
        <w:pStyle w:val="ListParagraph"/>
        <w:numPr>
          <w:ilvl w:val="0"/>
          <w:numId w:val="1"/>
        </w:numPr>
        <w:spacing w:after="60" w:line="245"/>
      </w:pPr>
      <w:r>
        <w:rPr>
          <w:rFonts w:ascii="Calibri" w:cs="Calibri" w:eastAsia="Calibri" w:hAnsi="Calibri"/>
          <w:sz w:val="17"/>
          <w:szCs w:val="17"/>
        </w:rPr>
        <w:t xml:space="preserve">Contact with live electrical equipment at a sample pump, cutter or local control station</w:t>
      </w:r>
    </w:p>
    <w:p>
      <w:pPr>
        <w:pStyle w:val="ListParagraph"/>
        <w:numPr>
          <w:ilvl w:val="0"/>
          <w:numId w:val="1"/>
        </w:numPr>
        <w:spacing w:after="60" w:line="245"/>
      </w:pPr>
      <w:r>
        <w:rPr>
          <w:rFonts w:ascii="Calibri" w:cs="Calibri" w:eastAsia="Calibri" w:hAnsi="Calibri"/>
          <w:sz w:val="17"/>
          <w:szCs w:val="17"/>
        </w:rPr>
        <w:t xml:space="preserve">Inhalation of or contact with solid reagent - cyanide briquettes, lime or salt</w:t>
      </w:r>
    </w:p>
    <w:p>
      <w:pPr>
        <w:pStyle w:val="Heading1"/>
        <w:spacing w:after="120" w:before="260"/>
      </w:pPr>
      <w:r>
        <w:rPr>
          <w:rFonts w:ascii="Calibri" w:cs="Calibri" w:eastAsia="Calibri" w:hAnsi="Calibri"/>
          <w:b/>
          <w:bCs/>
          <w:color w:val="1F3864"/>
          <w:sz w:val="24"/>
          <w:szCs w:val="24"/>
        </w:rPr>
        <w:t xml:space="preserve">5  PPE</w:t>
      </w:r>
    </w:p>
    <w:p>
      <w:pPr>
        <w:spacing w:after="60" w:before="0" w:line="245"/>
      </w:pPr>
      <w:r>
        <w:rPr>
          <w:rFonts w:ascii="Calibri" w:cs="Calibri" w:eastAsia="Calibri" w:hAnsi="Calibri"/>
          <w:sz w:val="17"/>
          <w:szCs w:val="17"/>
        </w:rPr>
        <w:t xml:space="preserve">Standard PPE is worn for all normal operations: hard hat, safety glasses, high-visibility long-sleeved shirt and long trousers, safety boots, and gloves appropriate to the task.</w:t>
      </w:r>
    </w:p>
    <w:p>
      <w:pPr>
        <w:spacing w:after="60" w:before="0" w:line="245"/>
      </w:pPr>
      <w:r>
        <w:rPr>
          <w:rFonts w:ascii="Calibri" w:cs="Calibri" w:eastAsia="Calibri" w:hAnsi="Calibri"/>
          <w:sz w:val="17"/>
          <w:szCs w:val="17"/>
        </w:rPr>
        <w:t xml:space="preserve">The following is added where the task requires it:</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ListParagraph"/>
        <w:numPr>
          <w:ilvl w:val="0"/>
          <w:numId w:val="1"/>
        </w:numPr>
        <w:spacing w:after="60" w:line="245"/>
      </w:pPr>
      <w:r>
        <w:rPr>
          <w:rFonts w:ascii="Calibri" w:cs="Calibri" w:eastAsia="Calibri" w:hAnsi="Calibri"/>
          <w:sz w:val="17"/>
          <w:szCs w:val="17"/>
        </w:rPr>
        <w:t xml:space="preserve">Acid-resistant gloves, apron and face shield</w:t>
      </w:r>
    </w:p>
    <w:p>
      <w:pPr>
        <w:pStyle w:val="ListParagraph"/>
        <w:numPr>
          <w:ilvl w:val="0"/>
          <w:numId w:val="1"/>
        </w:numPr>
        <w:spacing w:after="60" w:line="245"/>
      </w:pPr>
      <w:r>
        <w:rPr>
          <w:rFonts w:ascii="Calibri" w:cs="Calibri" w:eastAsia="Calibri" w:hAnsi="Calibri"/>
          <w:sz w:val="17"/>
          <w:szCs w:val="17"/>
        </w:rPr>
        <w:t xml:space="preserve">Chemical splash goggles</w:t>
      </w:r>
    </w:p>
    <w:p>
      <w:pPr>
        <w:pStyle w:val="Heading1"/>
        <w:spacing w:after="120" w:before="260"/>
      </w:pPr>
      <w:r>
        <w:rPr>
          <w:rFonts w:ascii="Calibri" w:cs="Calibri" w:eastAsia="Calibri" w:hAnsi="Calibri"/>
          <w:b/>
          <w:bCs/>
          <w:color w:val="1F3864"/>
          <w:sz w:val="24"/>
          <w:szCs w:val="24"/>
        </w:rPr>
        <w:t xml:space="preserve">6  PROCEDURE</w:t>
      </w:r>
    </w:p>
    <w:p>
      <w:pPr>
        <w:spacing w:after="90" w:before="180" w:line="245"/>
        <w:keepNext/>
      </w:pPr>
      <w:r>
        <w:rPr>
          <w:rFonts w:ascii="Calibri" w:cs="Calibri" w:eastAsia="Calibri" w:hAnsi="Calibri"/>
          <w:b/>
          <w:bCs/>
          <w:color w:val="1F3864"/>
          <w:sz w:val="19"/>
          <w:szCs w:val="19"/>
        </w:rPr>
        <w:t xml:space="preserve">6.1  Introduction</w:t>
      </w:r>
    </w:p>
    <w:p>
      <w:pPr>
        <w:spacing w:after="60" w:before="0" w:line="245"/>
      </w:pPr>
      <w:r>
        <w:rPr>
          <w:rFonts w:ascii="Calibri" w:cs="Calibri" w:eastAsia="Calibri" w:hAnsi="Calibri"/>
          <w:b/>
          <w:bCs/>
          <w:sz w:val="17"/>
          <w:szCs w:val="17"/>
        </w:rPr>
        <w:t xml:space="preserve">Warning: many operations on the gold processing plant are automated and equipment may start or stop without warning. It is the operator's responsibility to ensure the safety of all personnel working on the plant at all times.</w:t>
      </w:r>
    </w:p>
    <w:p>
      <w:pPr>
        <w:spacing w:after="90" w:before="180" w:line="245"/>
        <w:keepNext/>
      </w:pPr>
      <w:r>
        <w:rPr>
          <w:rFonts w:ascii="Calibri" w:cs="Calibri" w:eastAsia="Calibri" w:hAnsi="Calibri"/>
          <w:b/>
          <w:bCs/>
          <w:color w:val="1F3864"/>
          <w:sz w:val="19"/>
          <w:szCs w:val="19"/>
        </w:rPr>
        <w:t xml:space="preserve">6.2  Procedure and implementation steps</w:t>
      </w:r>
    </w:p>
    <w:p>
      <w:pPr>
        <w:spacing w:after="60" w:before="0" w:line="245"/>
      </w:pPr>
      <w:r>
        <w:rPr>
          <w:rFonts w:ascii="Calibri" w:cs="Calibri" w:eastAsia="Calibri" w:hAnsi="Calibri"/>
          <w:sz w:val="17"/>
          <w:szCs w:val="17"/>
        </w:rPr>
        <w:t xml:space="preserve">The documents below are the controlled method for each task. This procedure does not repeat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50"/>
        <w:gridCol w:w="1850"/>
        <w:gridCol w:w="4026"/>
        <w:gridCol w:w="1300"/>
      </w:tblGrid>
      <w:tr>
        <w:trPr>
          <w:tblHeader/>
        </w:trPr>
        <w:tc>
          <w:tcPr>
            <w:tcW w:type="dxa" w:w="185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5"/>
                <w:szCs w:val="15"/>
              </w:rPr>
              <w:t xml:space="preserve">JSEA</w:t>
            </w:r>
          </w:p>
        </w:tc>
        <w:tc>
          <w:tcPr>
            <w:tcW w:type="dxa" w:w="185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5"/>
                <w:szCs w:val="15"/>
              </w:rPr>
              <w:t xml:space="preserve">Work instruction</w:t>
            </w:r>
          </w:p>
        </w:tc>
        <w:tc>
          <w:tcPr>
            <w:tcW w:type="dxa" w:w="40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5"/>
                <w:szCs w:val="15"/>
              </w:rPr>
              <w:t xml:space="preserve">Task</w:t>
            </w:r>
          </w:p>
        </w:tc>
        <w:tc>
          <w:tcPr>
            <w:tcW w:type="dxa" w:w="13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5"/>
                <w:szCs w:val="15"/>
              </w:rPr>
              <w:t xml:space="preserve">Class</w:t>
            </w:r>
          </w:p>
        </w:tc>
      </w:tr>
      <w:tr>
        <w:tc>
          <w:tcPr>
            <w:tcW w:type="dxa" w:w="1850"/>
            <w:tcMar>
              <w:top w:type="dxa" w:w="55"/>
              <w:left w:type="dxa" w:w="85"/>
              <w:bottom w:type="dxa" w:w="55"/>
              <w:right w:type="dxa" w:w="85"/>
            </w:tcMar>
          </w:tcPr>
          <w:p>
            <w:pPr>
              <w:spacing w:after="0" w:line="235"/>
            </w:pPr>
            <w:r>
              <w:rPr>
                <w:rFonts w:ascii="Calibri" w:cs="Calibri" w:eastAsia="Calibri" w:hAnsi="Calibri"/>
                <w:sz w:val="15"/>
                <w:szCs w:val="15"/>
              </w:rPr>
              <w:t xml:space="preserve">JSEA-PRO-LAB-305-001</w:t>
            </w:r>
          </w:p>
        </w:tc>
        <w:tc>
          <w:tcPr>
            <w:tcW w:type="dxa" w:w="1850"/>
            <w:tcMar>
              <w:top w:type="dxa" w:w="55"/>
              <w:left w:type="dxa" w:w="85"/>
              <w:bottom w:type="dxa" w:w="55"/>
              <w:right w:type="dxa" w:w="85"/>
            </w:tcMar>
          </w:tcPr>
          <w:p>
            <w:pPr>
              <w:spacing w:after="0" w:line="235"/>
            </w:pPr>
            <w:r>
              <w:rPr>
                <w:rFonts w:ascii="Calibri" w:cs="Calibri" w:eastAsia="Calibri" w:hAnsi="Calibri"/>
                <w:sz w:val="15"/>
                <w:szCs w:val="15"/>
              </w:rPr>
              <w:t xml:space="preserve">-</w:t>
            </w:r>
          </w:p>
        </w:tc>
        <w:tc>
          <w:tcPr>
            <w:tcW w:type="dxa" w:w="4026"/>
            <w:tcMar>
              <w:top w:type="dxa" w:w="55"/>
              <w:left w:type="dxa" w:w="85"/>
              <w:bottom w:type="dxa" w:w="55"/>
              <w:right w:type="dxa" w:w="85"/>
            </w:tcMar>
          </w:tcPr>
          <w:p>
            <w:pPr>
              <w:spacing w:after="0" w:line="235"/>
            </w:pPr>
            <w:r>
              <w:rPr>
                <w:rFonts w:ascii="Calibri" w:cs="Calibri" w:eastAsia="Calibri" w:hAnsi="Calibri"/>
                <w:sz w:val="15"/>
                <w:szCs w:val="15"/>
              </w:rPr>
              <w:t xml:space="preserve">Laboratory QA/QC - Standards, Blanks, Duplicates and Repeats</w:t>
            </w:r>
          </w:p>
        </w:tc>
        <w:tc>
          <w:tcPr>
            <w:tcW w:type="dxa" w:w="1300"/>
            <w:tcMar>
              <w:top w:type="dxa" w:w="55"/>
              <w:left w:type="dxa" w:w="85"/>
              <w:bottom w:type="dxa" w:w="55"/>
              <w:right w:type="dxa" w:w="85"/>
            </w:tcMar>
          </w:tcPr>
          <w:p>
            <w:pPr>
              <w:spacing w:after="0" w:line="235"/>
            </w:pPr>
            <w:r>
              <w:rPr>
                <w:rFonts w:ascii="Calibri" w:cs="Calibri" w:eastAsia="Calibri" w:hAnsi="Calibri"/>
                <w:sz w:val="15"/>
                <w:szCs w:val="15"/>
              </w:rPr>
              <w:t xml:space="preserve">Operating</w:t>
            </w:r>
          </w:p>
        </w:tc>
      </w:tr>
      <w:tr>
        <w:tc>
          <w:tcPr>
            <w:tcW w:type="dxa" w:w="185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JSEA-PRO-LAB-305-002</w:t>
            </w:r>
          </w:p>
        </w:tc>
        <w:tc>
          <w:tcPr>
            <w:tcW w:type="dxa" w:w="185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w:t>
            </w:r>
          </w:p>
        </w:tc>
        <w:tc>
          <w:tcPr>
            <w:tcW w:type="dxa" w:w="4026"/>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Control Chart Review and Out-of-Control Response</w:t>
            </w:r>
          </w:p>
        </w:tc>
        <w:tc>
          <w:tcPr>
            <w:tcW w:type="dxa" w:w="130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Operating</w:t>
            </w:r>
          </w:p>
        </w:tc>
      </w:tr>
      <w:tr>
        <w:tc>
          <w:tcPr>
            <w:tcW w:type="dxa" w:w="1850"/>
            <w:tcMar>
              <w:top w:type="dxa" w:w="55"/>
              <w:left w:type="dxa" w:w="85"/>
              <w:bottom w:type="dxa" w:w="55"/>
              <w:right w:type="dxa" w:w="85"/>
            </w:tcMar>
          </w:tcPr>
          <w:p>
            <w:pPr>
              <w:spacing w:after="0" w:line="235"/>
            </w:pPr>
            <w:r>
              <w:rPr>
                <w:rFonts w:ascii="Calibri" w:cs="Calibri" w:eastAsia="Calibri" w:hAnsi="Calibri"/>
                <w:sz w:val="15"/>
                <w:szCs w:val="15"/>
              </w:rPr>
              <w:t xml:space="preserve">JSEA-PRO-LAB-305-003</w:t>
            </w:r>
          </w:p>
        </w:tc>
        <w:tc>
          <w:tcPr>
            <w:tcW w:type="dxa" w:w="1850"/>
            <w:tcMar>
              <w:top w:type="dxa" w:w="55"/>
              <w:left w:type="dxa" w:w="85"/>
              <w:bottom w:type="dxa" w:w="55"/>
              <w:right w:type="dxa" w:w="85"/>
            </w:tcMar>
          </w:tcPr>
          <w:p>
            <w:pPr>
              <w:spacing w:after="0" w:line="235"/>
            </w:pPr>
            <w:r>
              <w:rPr>
                <w:rFonts w:ascii="Calibri" w:cs="Calibri" w:eastAsia="Calibri" w:hAnsi="Calibri"/>
                <w:sz w:val="15"/>
                <w:szCs w:val="15"/>
              </w:rPr>
              <w:t xml:space="preserve">-</w:t>
            </w:r>
          </w:p>
        </w:tc>
        <w:tc>
          <w:tcPr>
            <w:tcW w:type="dxa" w:w="4026"/>
            <w:tcMar>
              <w:top w:type="dxa" w:w="55"/>
              <w:left w:type="dxa" w:w="85"/>
              <w:bottom w:type="dxa" w:w="55"/>
              <w:right w:type="dxa" w:w="85"/>
            </w:tcMar>
          </w:tcPr>
          <w:p>
            <w:pPr>
              <w:spacing w:after="0" w:line="235"/>
            </w:pPr>
            <w:r>
              <w:rPr>
                <w:rFonts w:ascii="Calibri" w:cs="Calibri" w:eastAsia="Calibri" w:hAnsi="Calibri"/>
                <w:sz w:val="15"/>
                <w:szCs w:val="15"/>
              </w:rPr>
              <w:t xml:space="preserve">Umpire and Referee Assay Management</w:t>
            </w:r>
          </w:p>
        </w:tc>
        <w:tc>
          <w:tcPr>
            <w:tcW w:type="dxa" w:w="1300"/>
            <w:tcMar>
              <w:top w:type="dxa" w:w="55"/>
              <w:left w:type="dxa" w:w="85"/>
              <w:bottom w:type="dxa" w:w="55"/>
              <w:right w:type="dxa" w:w="85"/>
            </w:tcMar>
          </w:tcPr>
          <w:p>
            <w:pPr>
              <w:spacing w:after="0" w:line="235"/>
            </w:pPr>
            <w:r>
              <w:rPr>
                <w:rFonts w:ascii="Calibri" w:cs="Calibri" w:eastAsia="Calibri" w:hAnsi="Calibri"/>
                <w:sz w:val="15"/>
                <w:szCs w:val="15"/>
              </w:rPr>
              <w:t xml:space="preserve">Safety-critical</w:t>
            </w:r>
          </w:p>
        </w:tc>
      </w:tr>
      <w:tr>
        <w:tc>
          <w:tcPr>
            <w:tcW w:type="dxa" w:w="185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JSEA-PRO-LAB-305-004</w:t>
            </w:r>
          </w:p>
        </w:tc>
        <w:tc>
          <w:tcPr>
            <w:tcW w:type="dxa" w:w="185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SWI-PRO-LAB-305-004</w:t>
            </w:r>
          </w:p>
        </w:tc>
        <w:tc>
          <w:tcPr>
            <w:tcW w:type="dxa" w:w="4026"/>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Laboratory Chemical Store Management and SDS Control</w:t>
            </w:r>
          </w:p>
        </w:tc>
        <w:tc>
          <w:tcPr>
            <w:tcW w:type="dxa" w:w="130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Safety-critical</w:t>
            </w:r>
          </w:p>
        </w:tc>
      </w:tr>
      <w:tr>
        <w:tc>
          <w:tcPr>
            <w:tcW w:type="dxa" w:w="1850"/>
            <w:tcMar>
              <w:top w:type="dxa" w:w="55"/>
              <w:left w:type="dxa" w:w="85"/>
              <w:bottom w:type="dxa" w:w="55"/>
              <w:right w:type="dxa" w:w="85"/>
            </w:tcMar>
          </w:tcPr>
          <w:p>
            <w:pPr>
              <w:spacing w:after="0" w:line="235"/>
            </w:pPr>
            <w:r>
              <w:rPr>
                <w:rFonts w:ascii="Calibri" w:cs="Calibri" w:eastAsia="Calibri" w:hAnsi="Calibri"/>
                <w:sz w:val="15"/>
                <w:szCs w:val="15"/>
              </w:rPr>
              <w:t xml:space="preserve">JSEA-PRO-LAB-305-005</w:t>
            </w:r>
          </w:p>
        </w:tc>
        <w:tc>
          <w:tcPr>
            <w:tcW w:type="dxa" w:w="1850"/>
            <w:tcMar>
              <w:top w:type="dxa" w:w="55"/>
              <w:left w:type="dxa" w:w="85"/>
              <w:bottom w:type="dxa" w:w="55"/>
              <w:right w:type="dxa" w:w="85"/>
            </w:tcMar>
          </w:tcPr>
          <w:p>
            <w:pPr>
              <w:spacing w:after="0" w:line="235"/>
            </w:pPr>
            <w:r>
              <w:rPr>
                <w:rFonts w:ascii="Calibri" w:cs="Calibri" w:eastAsia="Calibri" w:hAnsi="Calibri"/>
                <w:sz w:val="15"/>
                <w:szCs w:val="15"/>
              </w:rPr>
              <w:t xml:space="preserve">SWI-PRO-LAB-305-005</w:t>
            </w:r>
          </w:p>
        </w:tc>
        <w:tc>
          <w:tcPr>
            <w:tcW w:type="dxa" w:w="4026"/>
            <w:tcMar>
              <w:top w:type="dxa" w:w="55"/>
              <w:left w:type="dxa" w:w="85"/>
              <w:bottom w:type="dxa" w:w="55"/>
              <w:right w:type="dxa" w:w="85"/>
            </w:tcMar>
          </w:tcPr>
          <w:p>
            <w:pPr>
              <w:spacing w:after="0" w:line="235"/>
            </w:pPr>
            <w:r>
              <w:rPr>
                <w:rFonts w:ascii="Calibri" w:cs="Calibri" w:eastAsia="Calibri" w:hAnsi="Calibri"/>
                <w:sz w:val="15"/>
                <w:szCs w:val="15"/>
              </w:rPr>
              <w:t xml:space="preserve">Cyanide Handling and Storage in the Laboratory</w:t>
            </w:r>
          </w:p>
        </w:tc>
        <w:tc>
          <w:tcPr>
            <w:tcW w:type="dxa" w:w="1300"/>
            <w:tcMar>
              <w:top w:type="dxa" w:w="55"/>
              <w:left w:type="dxa" w:w="85"/>
              <w:bottom w:type="dxa" w:w="55"/>
              <w:right w:type="dxa" w:w="85"/>
            </w:tcMar>
          </w:tcPr>
          <w:p>
            <w:pPr>
              <w:spacing w:after="0" w:line="235"/>
            </w:pPr>
            <w:r>
              <w:rPr>
                <w:rFonts w:ascii="Calibri" w:cs="Calibri" w:eastAsia="Calibri" w:hAnsi="Calibri"/>
                <w:sz w:val="15"/>
                <w:szCs w:val="15"/>
              </w:rPr>
              <w:t xml:space="preserve">Safety-critical</w:t>
            </w:r>
          </w:p>
        </w:tc>
      </w:tr>
      <w:tr>
        <w:tc>
          <w:tcPr>
            <w:tcW w:type="dxa" w:w="185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JSEA-PRO-LAB-305-006</w:t>
            </w:r>
          </w:p>
        </w:tc>
        <w:tc>
          <w:tcPr>
            <w:tcW w:type="dxa" w:w="185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SWI-PRO-LAB-305-006</w:t>
            </w:r>
          </w:p>
        </w:tc>
        <w:tc>
          <w:tcPr>
            <w:tcW w:type="dxa" w:w="4026"/>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HCN Gas Alarm Response - Laboratory</w:t>
            </w:r>
          </w:p>
        </w:tc>
        <w:tc>
          <w:tcPr>
            <w:tcW w:type="dxa" w:w="130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Safety-critical</w:t>
            </w:r>
          </w:p>
        </w:tc>
      </w:tr>
      <w:tr>
        <w:tc>
          <w:tcPr>
            <w:tcW w:type="dxa" w:w="1850"/>
            <w:tcMar>
              <w:top w:type="dxa" w:w="55"/>
              <w:left w:type="dxa" w:w="85"/>
              <w:bottom w:type="dxa" w:w="55"/>
              <w:right w:type="dxa" w:w="85"/>
            </w:tcMar>
          </w:tcPr>
          <w:p>
            <w:pPr>
              <w:spacing w:after="0" w:line="235"/>
            </w:pPr>
            <w:r>
              <w:rPr>
                <w:rFonts w:ascii="Calibri" w:cs="Calibri" w:eastAsia="Calibri" w:hAnsi="Calibri"/>
                <w:sz w:val="15"/>
                <w:szCs w:val="15"/>
              </w:rPr>
              <w:t xml:space="preserve">JSEA-PRO-LAB-305-007</w:t>
            </w:r>
          </w:p>
        </w:tc>
        <w:tc>
          <w:tcPr>
            <w:tcW w:type="dxa" w:w="1850"/>
            <w:tcMar>
              <w:top w:type="dxa" w:w="55"/>
              <w:left w:type="dxa" w:w="85"/>
              <w:bottom w:type="dxa" w:w="55"/>
              <w:right w:type="dxa" w:w="85"/>
            </w:tcMar>
          </w:tcPr>
          <w:p>
            <w:pPr>
              <w:spacing w:after="0" w:line="235"/>
            </w:pPr>
            <w:r>
              <w:rPr>
                <w:rFonts w:ascii="Calibri" w:cs="Calibri" w:eastAsia="Calibri" w:hAnsi="Calibri"/>
                <w:sz w:val="15"/>
                <w:szCs w:val="15"/>
              </w:rPr>
              <w:t xml:space="preserve">SWI-PRO-LAB-305-007</w:t>
            </w:r>
          </w:p>
        </w:tc>
        <w:tc>
          <w:tcPr>
            <w:tcW w:type="dxa" w:w="4026"/>
            <w:tcMar>
              <w:top w:type="dxa" w:w="55"/>
              <w:left w:type="dxa" w:w="85"/>
              <w:bottom w:type="dxa" w:w="55"/>
              <w:right w:type="dxa" w:w="85"/>
            </w:tcMar>
          </w:tcPr>
          <w:p>
            <w:pPr>
              <w:spacing w:after="0" w:line="235"/>
            </w:pPr>
            <w:r>
              <w:rPr>
                <w:rFonts w:ascii="Calibri" w:cs="Calibri" w:eastAsia="Calibri" w:hAnsi="Calibri"/>
                <w:sz w:val="15"/>
                <w:szCs w:val="15"/>
              </w:rPr>
              <w:t xml:space="preserve">Emergency Shower and Eyewash Inspection and Test</w:t>
            </w:r>
          </w:p>
        </w:tc>
        <w:tc>
          <w:tcPr>
            <w:tcW w:type="dxa" w:w="1300"/>
            <w:tcMar>
              <w:top w:type="dxa" w:w="55"/>
              <w:left w:type="dxa" w:w="85"/>
              <w:bottom w:type="dxa" w:w="55"/>
              <w:right w:type="dxa" w:w="85"/>
            </w:tcMar>
          </w:tcPr>
          <w:p>
            <w:pPr>
              <w:spacing w:after="0" w:line="235"/>
            </w:pPr>
            <w:r>
              <w:rPr>
                <w:rFonts w:ascii="Calibri" w:cs="Calibri" w:eastAsia="Calibri" w:hAnsi="Calibri"/>
                <w:sz w:val="15"/>
                <w:szCs w:val="15"/>
              </w:rPr>
              <w:t xml:space="preserve">Operating</w:t>
            </w:r>
          </w:p>
        </w:tc>
      </w:tr>
      <w:tr>
        <w:tc>
          <w:tcPr>
            <w:tcW w:type="dxa" w:w="185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JSEA-PRO-LAB-305-008</w:t>
            </w:r>
          </w:p>
        </w:tc>
        <w:tc>
          <w:tcPr>
            <w:tcW w:type="dxa" w:w="185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SWI-PRO-LAB-305-008</w:t>
            </w:r>
          </w:p>
        </w:tc>
        <w:tc>
          <w:tcPr>
            <w:tcW w:type="dxa" w:w="4026"/>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Laboratory Ventilation and Scrubber System Check</w:t>
            </w:r>
          </w:p>
        </w:tc>
        <w:tc>
          <w:tcPr>
            <w:tcW w:type="dxa" w:w="130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Safety-critical</w:t>
            </w:r>
          </w:p>
        </w:tc>
      </w:tr>
      <w:tr>
        <w:tc>
          <w:tcPr>
            <w:tcW w:type="dxa" w:w="1850"/>
            <w:tcMar>
              <w:top w:type="dxa" w:w="55"/>
              <w:left w:type="dxa" w:w="85"/>
              <w:bottom w:type="dxa" w:w="55"/>
              <w:right w:type="dxa" w:w="85"/>
            </w:tcMar>
          </w:tcPr>
          <w:p>
            <w:pPr>
              <w:spacing w:after="0" w:line="235"/>
            </w:pPr>
            <w:r>
              <w:rPr>
                <w:rFonts w:ascii="Calibri" w:cs="Calibri" w:eastAsia="Calibri" w:hAnsi="Calibri"/>
                <w:sz w:val="15"/>
                <w:szCs w:val="15"/>
              </w:rPr>
              <w:t xml:space="preserve">JSEA-PRO-LAB-305-009</w:t>
            </w:r>
          </w:p>
        </w:tc>
        <w:tc>
          <w:tcPr>
            <w:tcW w:type="dxa" w:w="1850"/>
            <w:tcMar>
              <w:top w:type="dxa" w:w="55"/>
              <w:left w:type="dxa" w:w="85"/>
              <w:bottom w:type="dxa" w:w="55"/>
              <w:right w:type="dxa" w:w="85"/>
            </w:tcMar>
          </w:tcPr>
          <w:p>
            <w:pPr>
              <w:spacing w:after="0" w:line="235"/>
            </w:pPr>
            <w:r>
              <w:rPr>
                <w:rFonts w:ascii="Calibri" w:cs="Calibri" w:eastAsia="Calibri" w:hAnsi="Calibri"/>
                <w:sz w:val="15"/>
                <w:szCs w:val="15"/>
              </w:rPr>
              <w:t xml:space="preserve">SWI-PRO-LAB-305-009</w:t>
            </w:r>
          </w:p>
        </w:tc>
        <w:tc>
          <w:tcPr>
            <w:tcW w:type="dxa" w:w="4026"/>
            <w:tcMar>
              <w:top w:type="dxa" w:w="55"/>
              <w:left w:type="dxa" w:w="85"/>
              <w:bottom w:type="dxa" w:w="55"/>
              <w:right w:type="dxa" w:w="85"/>
            </w:tcMar>
          </w:tcPr>
          <w:p>
            <w:pPr>
              <w:spacing w:after="0" w:line="235"/>
            </w:pPr>
            <w:r>
              <w:rPr>
                <w:rFonts w:ascii="Calibri" w:cs="Calibri" w:eastAsia="Calibri" w:hAnsi="Calibri"/>
                <w:sz w:val="15"/>
                <w:szCs w:val="15"/>
              </w:rPr>
              <w:t xml:space="preserve">Laboratory Waste Segregation, Storage and Disposal</w:t>
            </w:r>
          </w:p>
        </w:tc>
        <w:tc>
          <w:tcPr>
            <w:tcW w:type="dxa" w:w="1300"/>
            <w:tcMar>
              <w:top w:type="dxa" w:w="55"/>
              <w:left w:type="dxa" w:w="85"/>
              <w:bottom w:type="dxa" w:w="55"/>
              <w:right w:type="dxa" w:w="85"/>
            </w:tcMar>
          </w:tcPr>
          <w:p>
            <w:pPr>
              <w:spacing w:after="0" w:line="235"/>
            </w:pPr>
            <w:r>
              <w:rPr>
                <w:rFonts w:ascii="Calibri" w:cs="Calibri" w:eastAsia="Calibri" w:hAnsi="Calibri"/>
                <w:sz w:val="15"/>
                <w:szCs w:val="15"/>
              </w:rPr>
              <w:t xml:space="preserve">Safety-critical</w:t>
            </w:r>
          </w:p>
        </w:tc>
      </w:tr>
      <w:tr>
        <w:tc>
          <w:tcPr>
            <w:tcW w:type="dxa" w:w="185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JSEA-PRO-LAB-305-010</w:t>
            </w:r>
          </w:p>
        </w:tc>
        <w:tc>
          <w:tcPr>
            <w:tcW w:type="dxa" w:w="185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SWI-PRO-LAB-305-010</w:t>
            </w:r>
          </w:p>
        </w:tc>
        <w:tc>
          <w:tcPr>
            <w:tcW w:type="dxa" w:w="4026"/>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Laboratory Housekeeping and Deep Clean</w:t>
            </w:r>
          </w:p>
        </w:tc>
        <w:tc>
          <w:tcPr>
            <w:tcW w:type="dxa" w:w="130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Safety-critical</w:t>
            </w:r>
          </w:p>
        </w:tc>
      </w:tr>
      <w:tr>
        <w:tc>
          <w:tcPr>
            <w:tcW w:type="dxa" w:w="1850"/>
            <w:tcMar>
              <w:top w:type="dxa" w:w="55"/>
              <w:left w:type="dxa" w:w="85"/>
              <w:bottom w:type="dxa" w:w="55"/>
              <w:right w:type="dxa" w:w="85"/>
            </w:tcMar>
          </w:tcPr>
          <w:p>
            <w:pPr>
              <w:spacing w:after="0" w:line="235"/>
            </w:pPr>
            <w:r>
              <w:rPr>
                <w:rFonts w:ascii="Calibri" w:cs="Calibri" w:eastAsia="Calibri" w:hAnsi="Calibri"/>
                <w:sz w:val="15"/>
                <w:szCs w:val="15"/>
              </w:rPr>
              <w:t xml:space="preserve">JSEA-PRO-LAB-305-011</w:t>
            </w:r>
          </w:p>
        </w:tc>
        <w:tc>
          <w:tcPr>
            <w:tcW w:type="dxa" w:w="1850"/>
            <w:tcMar>
              <w:top w:type="dxa" w:w="55"/>
              <w:left w:type="dxa" w:w="85"/>
              <w:bottom w:type="dxa" w:w="55"/>
              <w:right w:type="dxa" w:w="85"/>
            </w:tcMar>
          </w:tcPr>
          <w:p>
            <w:pPr>
              <w:spacing w:after="0" w:line="235"/>
            </w:pPr>
            <w:r>
              <w:rPr>
                <w:rFonts w:ascii="Calibri" w:cs="Calibri" w:eastAsia="Calibri" w:hAnsi="Calibri"/>
                <w:sz w:val="15"/>
                <w:szCs w:val="15"/>
              </w:rPr>
              <w:t xml:space="preserve">SWI-PRO-LAB-305-011</w:t>
            </w:r>
          </w:p>
        </w:tc>
        <w:tc>
          <w:tcPr>
            <w:tcW w:type="dxa" w:w="4026"/>
            <w:tcMar>
              <w:top w:type="dxa" w:w="55"/>
              <w:left w:type="dxa" w:w="85"/>
              <w:bottom w:type="dxa" w:w="55"/>
              <w:right w:type="dxa" w:w="85"/>
            </w:tcMar>
          </w:tcPr>
          <w:p>
            <w:pPr>
              <w:spacing w:after="0" w:line="235"/>
            </w:pPr>
            <w:r>
              <w:rPr>
                <w:rFonts w:ascii="Calibri" w:cs="Calibri" w:eastAsia="Calibri" w:hAnsi="Calibri"/>
                <w:sz w:val="15"/>
                <w:szCs w:val="15"/>
              </w:rPr>
              <w:t xml:space="preserve">Gold Security and Sample Integrity Control</w:t>
            </w:r>
          </w:p>
        </w:tc>
        <w:tc>
          <w:tcPr>
            <w:tcW w:type="dxa" w:w="1300"/>
            <w:tcMar>
              <w:top w:type="dxa" w:w="55"/>
              <w:left w:type="dxa" w:w="85"/>
              <w:bottom w:type="dxa" w:w="55"/>
              <w:right w:type="dxa" w:w="85"/>
            </w:tcMar>
          </w:tcPr>
          <w:p>
            <w:pPr>
              <w:spacing w:after="0" w:line="235"/>
            </w:pPr>
            <w:r>
              <w:rPr>
                <w:rFonts w:ascii="Calibri" w:cs="Calibri" w:eastAsia="Calibri" w:hAnsi="Calibri"/>
                <w:sz w:val="15"/>
                <w:szCs w:val="15"/>
              </w:rPr>
              <w:t xml:space="preserve">Safety-critical</w:t>
            </w:r>
          </w:p>
        </w:tc>
      </w:tr>
      <w:tr>
        <w:tc>
          <w:tcPr>
            <w:tcW w:type="dxa" w:w="185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JSEA-PRO-LAB-305-012</w:t>
            </w:r>
          </w:p>
        </w:tc>
        <w:tc>
          <w:tcPr>
            <w:tcW w:type="dxa" w:w="185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w:t>
            </w:r>
          </w:p>
        </w:tc>
        <w:tc>
          <w:tcPr>
            <w:tcW w:type="dxa" w:w="4026"/>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Laboratory Equipment Preventive Maintenance and Calibration Register</w:t>
            </w:r>
          </w:p>
        </w:tc>
        <w:tc>
          <w:tcPr>
            <w:tcW w:type="dxa" w:w="130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Operating</w:t>
            </w:r>
          </w:p>
        </w:tc>
      </w:tr>
      <w:tr>
        <w:tc>
          <w:tcPr>
            <w:tcW w:type="dxa" w:w="1850"/>
            <w:tcMar>
              <w:top w:type="dxa" w:w="55"/>
              <w:left w:type="dxa" w:w="85"/>
              <w:bottom w:type="dxa" w:w="55"/>
              <w:right w:type="dxa" w:w="85"/>
            </w:tcMar>
          </w:tcPr>
          <w:p>
            <w:pPr>
              <w:spacing w:after="0" w:line="235"/>
            </w:pPr>
            <w:r>
              <w:rPr>
                <w:rFonts w:ascii="Calibri" w:cs="Calibri" w:eastAsia="Calibri" w:hAnsi="Calibri"/>
                <w:sz w:val="15"/>
                <w:szCs w:val="15"/>
              </w:rPr>
              <w:t xml:space="preserve">JSEA-PRO-LAB-305-013</w:t>
            </w:r>
          </w:p>
        </w:tc>
        <w:tc>
          <w:tcPr>
            <w:tcW w:type="dxa" w:w="1850"/>
            <w:tcMar>
              <w:top w:type="dxa" w:w="55"/>
              <w:left w:type="dxa" w:w="85"/>
              <w:bottom w:type="dxa" w:w="55"/>
              <w:right w:type="dxa" w:w="85"/>
            </w:tcMar>
          </w:tcPr>
          <w:p>
            <w:pPr>
              <w:spacing w:after="0" w:line="235"/>
            </w:pPr>
            <w:r>
              <w:rPr>
                <w:rFonts w:ascii="Calibri" w:cs="Calibri" w:eastAsia="Calibri" w:hAnsi="Calibri"/>
                <w:sz w:val="15"/>
                <w:szCs w:val="15"/>
              </w:rPr>
              <w:t xml:space="preserve">SWI-PRO-LAB-305-013</w:t>
            </w:r>
          </w:p>
        </w:tc>
        <w:tc>
          <w:tcPr>
            <w:tcW w:type="dxa" w:w="4026"/>
            <w:tcMar>
              <w:top w:type="dxa" w:w="55"/>
              <w:left w:type="dxa" w:w="85"/>
              <w:bottom w:type="dxa" w:w="55"/>
              <w:right w:type="dxa" w:w="85"/>
            </w:tcMar>
          </w:tcPr>
          <w:p>
            <w:pPr>
              <w:spacing w:after="0" w:line="235"/>
            </w:pPr>
            <w:r>
              <w:rPr>
                <w:rFonts w:ascii="Calibri" w:cs="Calibri" w:eastAsia="Calibri" w:hAnsi="Calibri"/>
                <w:sz w:val="15"/>
                <w:szCs w:val="15"/>
              </w:rPr>
              <w:t xml:space="preserve">Dangerous Goods Cabinet Management - Flammable, Corrosive and Toxic/Poisons</w:t>
            </w:r>
          </w:p>
        </w:tc>
        <w:tc>
          <w:tcPr>
            <w:tcW w:type="dxa" w:w="1300"/>
            <w:tcMar>
              <w:top w:type="dxa" w:w="55"/>
              <w:left w:type="dxa" w:w="85"/>
              <w:bottom w:type="dxa" w:w="55"/>
              <w:right w:type="dxa" w:w="85"/>
            </w:tcMar>
          </w:tcPr>
          <w:p>
            <w:pPr>
              <w:spacing w:after="0" w:line="235"/>
            </w:pPr>
            <w:r>
              <w:rPr>
                <w:rFonts w:ascii="Calibri" w:cs="Calibri" w:eastAsia="Calibri" w:hAnsi="Calibri"/>
                <w:sz w:val="15"/>
                <w:szCs w:val="15"/>
              </w:rPr>
              <w:t xml:space="preserve">Safety-critical</w:t>
            </w:r>
          </w:p>
        </w:tc>
      </w:tr>
      <w:tr>
        <w:tc>
          <w:tcPr>
            <w:tcW w:type="dxa" w:w="185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JSEA-PRO-LAB-305-014</w:t>
            </w:r>
          </w:p>
        </w:tc>
        <w:tc>
          <w:tcPr>
            <w:tcW w:type="dxa" w:w="185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SWI-PRO-LAB-305-014</w:t>
            </w:r>
          </w:p>
        </w:tc>
        <w:tc>
          <w:tcPr>
            <w:tcW w:type="dxa" w:w="4026"/>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Laboratory Compressed Air System and Pressure Vessel Statutory Inspection</w:t>
            </w:r>
          </w:p>
        </w:tc>
        <w:tc>
          <w:tcPr>
            <w:tcW w:type="dxa" w:w="130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Safety-critical</w:t>
            </w:r>
          </w:p>
        </w:tc>
      </w:tr>
      <w:tr>
        <w:tc>
          <w:tcPr>
            <w:tcW w:type="dxa" w:w="1850"/>
            <w:tcMar>
              <w:top w:type="dxa" w:w="55"/>
              <w:left w:type="dxa" w:w="85"/>
              <w:bottom w:type="dxa" w:w="55"/>
              <w:right w:type="dxa" w:w="85"/>
            </w:tcMar>
          </w:tcPr>
          <w:p>
            <w:pPr>
              <w:spacing w:after="0" w:line="235"/>
            </w:pPr>
            <w:r>
              <w:rPr>
                <w:rFonts w:ascii="Calibri" w:cs="Calibri" w:eastAsia="Calibri" w:hAnsi="Calibri"/>
                <w:sz w:val="15"/>
                <w:szCs w:val="15"/>
              </w:rPr>
              <w:t xml:space="preserve">JSEA-PRO-LAB-305-015</w:t>
            </w:r>
          </w:p>
        </w:tc>
        <w:tc>
          <w:tcPr>
            <w:tcW w:type="dxa" w:w="1850"/>
            <w:tcMar>
              <w:top w:type="dxa" w:w="55"/>
              <w:left w:type="dxa" w:w="85"/>
              <w:bottom w:type="dxa" w:w="55"/>
              <w:right w:type="dxa" w:w="85"/>
            </w:tcMar>
          </w:tcPr>
          <w:p>
            <w:pPr>
              <w:spacing w:after="0" w:line="235"/>
            </w:pPr>
            <w:r>
              <w:rPr>
                <w:rFonts w:ascii="Calibri" w:cs="Calibri" w:eastAsia="Calibri" w:hAnsi="Calibri"/>
                <w:sz w:val="15"/>
                <w:szCs w:val="15"/>
              </w:rPr>
              <w:t xml:space="preserve">SWI-PRO-LAB-305-015</w:t>
            </w:r>
          </w:p>
        </w:tc>
        <w:tc>
          <w:tcPr>
            <w:tcW w:type="dxa" w:w="4026"/>
            <w:tcMar>
              <w:top w:type="dxa" w:w="55"/>
              <w:left w:type="dxa" w:w="85"/>
              <w:bottom w:type="dxa" w:w="55"/>
              <w:right w:type="dxa" w:w="85"/>
            </w:tcMar>
          </w:tcPr>
          <w:p>
            <w:pPr>
              <w:spacing w:after="0" w:line="235"/>
            </w:pPr>
            <w:r>
              <w:rPr>
                <w:rFonts w:ascii="Calibri" w:cs="Calibri" w:eastAsia="Calibri" w:hAnsi="Calibri"/>
                <w:sz w:val="15"/>
                <w:szCs w:val="15"/>
              </w:rPr>
              <w:t xml:space="preserve">Spill Kit, Fire Extinguisher and Emergency Equipment Inspection</w:t>
            </w:r>
          </w:p>
        </w:tc>
        <w:tc>
          <w:tcPr>
            <w:tcW w:type="dxa" w:w="1300"/>
            <w:tcMar>
              <w:top w:type="dxa" w:w="55"/>
              <w:left w:type="dxa" w:w="85"/>
              <w:bottom w:type="dxa" w:w="55"/>
              <w:right w:type="dxa" w:w="85"/>
            </w:tcMar>
          </w:tcPr>
          <w:p>
            <w:pPr>
              <w:spacing w:after="0" w:line="235"/>
            </w:pPr>
            <w:r>
              <w:rPr>
                <w:rFonts w:ascii="Calibri" w:cs="Calibri" w:eastAsia="Calibri" w:hAnsi="Calibri"/>
                <w:sz w:val="15"/>
                <w:szCs w:val="15"/>
              </w:rPr>
              <w:t xml:space="preserve">Safety-critical</w:t>
            </w:r>
          </w:p>
        </w:tc>
      </w:tr>
      <w:tr>
        <w:tc>
          <w:tcPr>
            <w:tcW w:type="dxa" w:w="185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JSEA-PRO-LAB-305-016</w:t>
            </w:r>
          </w:p>
        </w:tc>
        <w:tc>
          <w:tcPr>
            <w:tcW w:type="dxa" w:w="185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SWI-PRO-LAB-305-016</w:t>
            </w:r>
          </w:p>
        </w:tc>
        <w:tc>
          <w:tcPr>
            <w:tcW w:type="dxa" w:w="4026"/>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Laboratory Equipment Receipt, Installation and Commissioning Handover</w:t>
            </w:r>
          </w:p>
        </w:tc>
        <w:tc>
          <w:tcPr>
            <w:tcW w:type="dxa" w:w="130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Safety-critical</w:t>
            </w:r>
          </w:p>
        </w:tc>
      </w:tr>
    </w:tbl>
    <w:p>
      <w:pPr>
        <w:spacing w:after="60" w:before="0" w:line="245"/>
      </w:pPr>
    </w:p>
    <w:p>
      <w:pPr>
        <w:spacing w:after="90" w:before="180" w:line="245"/>
        <w:keepNext/>
      </w:pPr>
      <w:r>
        <w:rPr>
          <w:rFonts w:ascii="Calibri" w:cs="Calibri" w:eastAsia="Calibri" w:hAnsi="Calibri"/>
          <w:b/>
          <w:bCs/>
          <w:color w:val="1F3864"/>
          <w:sz w:val="19"/>
          <w:szCs w:val="19"/>
        </w:rPr>
        <w:t xml:space="preserve">6.3  Schedule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00"/>
        <w:gridCol w:w="4426"/>
      </w:tblGrid>
      <w:tr>
        <w:trPr>
          <w:tblHeader/>
        </w:trPr>
        <w:tc>
          <w:tcPr>
            <w:tcW w:type="dxa" w:w="4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5"/>
                <w:szCs w:val="15"/>
              </w:rPr>
              <w:t xml:space="preserve">Task</w:t>
            </w:r>
          </w:p>
        </w:tc>
        <w:tc>
          <w:tcPr>
            <w:tcW w:type="dxa" w:w="4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5"/>
                <w:szCs w:val="15"/>
              </w:rPr>
              <w:t xml:space="preserve">Frequency</w:t>
            </w:r>
          </w:p>
        </w:tc>
      </w:tr>
      <w:tr>
        <w:tc>
          <w:tcPr>
            <w:tcW w:type="dxa" w:w="4600"/>
            <w:tcMar>
              <w:top w:type="dxa" w:w="55"/>
              <w:left w:type="dxa" w:w="85"/>
              <w:bottom w:type="dxa" w:w="55"/>
              <w:right w:type="dxa" w:w="85"/>
            </w:tcMar>
          </w:tcPr>
          <w:p>
            <w:pPr>
              <w:spacing w:after="0" w:line="235"/>
            </w:pPr>
            <w:r>
              <w:rPr>
                <w:rFonts w:ascii="Calibri" w:cs="Calibri" w:eastAsia="Calibri" w:hAnsi="Calibri"/>
                <w:sz w:val="15"/>
                <w:szCs w:val="15"/>
              </w:rPr>
              <w:t xml:space="preserve">305-001  Laboratory QA/QC - Standards, Blanks, Duplicates and Repeats</w:t>
            </w:r>
          </w:p>
        </w:tc>
        <w:tc>
          <w:tcPr>
            <w:tcW w:type="dxa" w:w="4426"/>
            <w:tcMar>
              <w:top w:type="dxa" w:w="55"/>
              <w:left w:type="dxa" w:w="85"/>
              <w:bottom w:type="dxa" w:w="55"/>
              <w:right w:type="dxa" w:w="85"/>
            </w:tcMar>
          </w:tcPr>
          <w:p>
            <w:pPr>
              <w:spacing w:after="0" w:line="235"/>
            </w:pPr>
            <w:r>
              <w:rPr>
                <w:rFonts w:ascii="Calibri" w:cs="Calibri" w:eastAsia="Calibri" w:hAnsi="Calibri"/>
                <w:sz w:val="15"/>
                <w:szCs w:val="15"/>
              </w:rPr>
              <w:t xml:space="preserve">Every analytical batch.</w:t>
            </w:r>
          </w:p>
        </w:tc>
      </w:tr>
      <w:tr>
        <w:tc>
          <w:tcPr>
            <w:tcW w:type="dxa" w:w="460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305-002  Control Chart Review and Out-of-Control Response</w:t>
            </w:r>
          </w:p>
        </w:tc>
        <w:tc>
          <w:tcPr>
            <w:tcW w:type="dxa" w:w="4426"/>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Weekly review; response on every out-of-control event.</w:t>
            </w:r>
          </w:p>
        </w:tc>
      </w:tr>
      <w:tr>
        <w:tc>
          <w:tcPr>
            <w:tcW w:type="dxa" w:w="4600"/>
            <w:tcMar>
              <w:top w:type="dxa" w:w="55"/>
              <w:left w:type="dxa" w:w="85"/>
              <w:bottom w:type="dxa" w:w="55"/>
              <w:right w:type="dxa" w:w="85"/>
            </w:tcMar>
          </w:tcPr>
          <w:p>
            <w:pPr>
              <w:spacing w:after="0" w:line="235"/>
            </w:pPr>
            <w:r>
              <w:rPr>
                <w:rFonts w:ascii="Calibri" w:cs="Calibri" w:eastAsia="Calibri" w:hAnsi="Calibri"/>
                <w:sz w:val="15"/>
                <w:szCs w:val="15"/>
              </w:rPr>
              <w:t xml:space="preserve">305-003  Umpire and Referee Assay Management</w:t>
            </w:r>
          </w:p>
        </w:tc>
        <w:tc>
          <w:tcPr>
            <w:tcW w:type="dxa" w:w="4426"/>
            <w:tcMar>
              <w:top w:type="dxa" w:w="55"/>
              <w:left w:type="dxa" w:w="85"/>
              <w:bottom w:type="dxa" w:w="55"/>
              <w:right w:type="dxa" w:w="85"/>
            </w:tcMar>
          </w:tcPr>
          <w:p>
            <w:pPr>
              <w:spacing w:after="0" w:line="235"/>
            </w:pPr>
            <w:r>
              <w:rPr>
                <w:rFonts w:ascii="Calibri" w:cs="Calibri" w:eastAsia="Calibri" w:hAnsi="Calibri"/>
                <w:sz w:val="15"/>
                <w:szCs w:val="15"/>
              </w:rPr>
              <w:t xml:space="preserve">Every umpire submission and every settlement dispute.</w:t>
            </w:r>
          </w:p>
        </w:tc>
      </w:tr>
      <w:tr>
        <w:tc>
          <w:tcPr>
            <w:tcW w:type="dxa" w:w="460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305-004  Laboratory Chemical Store Management and SDS Control</w:t>
            </w:r>
          </w:p>
        </w:tc>
        <w:tc>
          <w:tcPr>
            <w:tcW w:type="dxa" w:w="4426"/>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Continuous; register reviewed at the set interval.</w:t>
            </w:r>
          </w:p>
        </w:tc>
      </w:tr>
      <w:tr>
        <w:tc>
          <w:tcPr>
            <w:tcW w:type="dxa" w:w="4600"/>
            <w:tcMar>
              <w:top w:type="dxa" w:w="55"/>
              <w:left w:type="dxa" w:w="85"/>
              <w:bottom w:type="dxa" w:w="55"/>
              <w:right w:type="dxa" w:w="85"/>
            </w:tcMar>
          </w:tcPr>
          <w:p>
            <w:pPr>
              <w:spacing w:after="0" w:line="235"/>
            </w:pPr>
            <w:r>
              <w:rPr>
                <w:rFonts w:ascii="Calibri" w:cs="Calibri" w:eastAsia="Calibri" w:hAnsi="Calibri"/>
                <w:sz w:val="15"/>
                <w:szCs w:val="15"/>
              </w:rPr>
              <w:t xml:space="preserve">305-005  Cyanide Handling and Storage in the Laboratory</w:t>
            </w:r>
          </w:p>
        </w:tc>
        <w:tc>
          <w:tcPr>
            <w:tcW w:type="dxa" w:w="4426"/>
            <w:tcMar>
              <w:top w:type="dxa" w:w="55"/>
              <w:left w:type="dxa" w:w="85"/>
              <w:bottom w:type="dxa" w:w="55"/>
              <w:right w:type="dxa" w:w="85"/>
            </w:tcMar>
          </w:tcPr>
          <w:p>
            <w:pPr>
              <w:spacing w:after="0" w:line="235"/>
            </w:pPr>
            <w:r>
              <w:rPr>
                <w:rFonts w:ascii="Calibri" w:cs="Calibri" w:eastAsia="Calibri" w:hAnsi="Calibri"/>
                <w:sz w:val="15"/>
                <w:szCs w:val="15"/>
              </w:rPr>
              <w:t xml:space="preserve">Every cyanide handling task.</w:t>
            </w:r>
          </w:p>
        </w:tc>
      </w:tr>
      <w:tr>
        <w:tc>
          <w:tcPr>
            <w:tcW w:type="dxa" w:w="460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305-006  HCN Gas Alarm Response - Laboratory</w:t>
            </w:r>
          </w:p>
        </w:tc>
        <w:tc>
          <w:tcPr>
            <w:tcW w:type="dxa" w:w="4426"/>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On every alarm; drill at the set interval.</w:t>
            </w:r>
          </w:p>
        </w:tc>
      </w:tr>
      <w:tr>
        <w:tc>
          <w:tcPr>
            <w:tcW w:type="dxa" w:w="4600"/>
            <w:tcMar>
              <w:top w:type="dxa" w:w="55"/>
              <w:left w:type="dxa" w:w="85"/>
              <w:bottom w:type="dxa" w:w="55"/>
              <w:right w:type="dxa" w:w="85"/>
            </w:tcMar>
          </w:tcPr>
          <w:p>
            <w:pPr>
              <w:spacing w:after="0" w:line="235"/>
            </w:pPr>
            <w:r>
              <w:rPr>
                <w:rFonts w:ascii="Calibri" w:cs="Calibri" w:eastAsia="Calibri" w:hAnsi="Calibri"/>
                <w:sz w:val="15"/>
                <w:szCs w:val="15"/>
              </w:rPr>
              <w:t xml:space="preserve">305-007  Emergency Shower and Eyewash Inspection and Test</w:t>
            </w:r>
          </w:p>
        </w:tc>
        <w:tc>
          <w:tcPr>
            <w:tcW w:type="dxa" w:w="4426"/>
            <w:tcMar>
              <w:top w:type="dxa" w:w="55"/>
              <w:left w:type="dxa" w:w="85"/>
              <w:bottom w:type="dxa" w:w="55"/>
              <w:right w:type="dxa" w:w="85"/>
            </w:tcMar>
          </w:tcPr>
          <w:p>
            <w:pPr>
              <w:spacing w:after="0" w:line="235"/>
            </w:pPr>
            <w:r>
              <w:rPr>
                <w:rFonts w:ascii="Calibri" w:cs="Calibri" w:eastAsia="Calibri" w:hAnsi="Calibri"/>
                <w:sz w:val="15"/>
                <w:szCs w:val="15"/>
              </w:rPr>
              <w:t xml:space="preserve">Weekly test; annual full inspection.</w:t>
            </w:r>
          </w:p>
        </w:tc>
      </w:tr>
      <w:tr>
        <w:tc>
          <w:tcPr>
            <w:tcW w:type="dxa" w:w="460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305-008  Laboratory Ventilation and Scrubber System Check</w:t>
            </w:r>
          </w:p>
        </w:tc>
        <w:tc>
          <w:tcPr>
            <w:tcW w:type="dxa" w:w="4426"/>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Every shift; full check at the set interval.</w:t>
            </w:r>
          </w:p>
        </w:tc>
      </w:tr>
      <w:tr>
        <w:tc>
          <w:tcPr>
            <w:tcW w:type="dxa" w:w="4600"/>
            <w:tcMar>
              <w:top w:type="dxa" w:w="55"/>
              <w:left w:type="dxa" w:w="85"/>
              <w:bottom w:type="dxa" w:w="55"/>
              <w:right w:type="dxa" w:w="85"/>
            </w:tcMar>
          </w:tcPr>
          <w:p>
            <w:pPr>
              <w:spacing w:after="0" w:line="235"/>
            </w:pPr>
            <w:r>
              <w:rPr>
                <w:rFonts w:ascii="Calibri" w:cs="Calibri" w:eastAsia="Calibri" w:hAnsi="Calibri"/>
                <w:sz w:val="15"/>
                <w:szCs w:val="15"/>
              </w:rPr>
              <w:t xml:space="preserve">305-009  Laboratory Waste Segregation, Storage and Disposal</w:t>
            </w:r>
          </w:p>
        </w:tc>
        <w:tc>
          <w:tcPr>
            <w:tcW w:type="dxa" w:w="4426"/>
            <w:tcMar>
              <w:top w:type="dxa" w:w="55"/>
              <w:left w:type="dxa" w:w="85"/>
              <w:bottom w:type="dxa" w:w="55"/>
              <w:right w:type="dxa" w:w="85"/>
            </w:tcMar>
          </w:tcPr>
          <w:p>
            <w:pPr>
              <w:spacing w:after="0" w:line="235"/>
            </w:pPr>
            <w:r>
              <w:rPr>
                <w:rFonts w:ascii="Calibri" w:cs="Calibri" w:eastAsia="Calibri" w:hAnsi="Calibri"/>
                <w:sz w:val="15"/>
                <w:szCs w:val="15"/>
              </w:rPr>
              <w:t xml:space="preserve">Continuous; disposal at the set interval.</w:t>
            </w:r>
          </w:p>
        </w:tc>
      </w:tr>
      <w:tr>
        <w:tc>
          <w:tcPr>
            <w:tcW w:type="dxa" w:w="460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305-010  Laboratory Housekeeping and Deep Clean</w:t>
            </w:r>
          </w:p>
        </w:tc>
        <w:tc>
          <w:tcPr>
            <w:tcW w:type="dxa" w:w="4426"/>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Daily; deep clean at the set interval.</w:t>
            </w:r>
          </w:p>
        </w:tc>
      </w:tr>
      <w:tr>
        <w:tc>
          <w:tcPr>
            <w:tcW w:type="dxa" w:w="4600"/>
            <w:tcMar>
              <w:top w:type="dxa" w:w="55"/>
              <w:left w:type="dxa" w:w="85"/>
              <w:bottom w:type="dxa" w:w="55"/>
              <w:right w:type="dxa" w:w="85"/>
            </w:tcMar>
          </w:tcPr>
          <w:p>
            <w:pPr>
              <w:spacing w:after="0" w:line="235"/>
            </w:pPr>
            <w:r>
              <w:rPr>
                <w:rFonts w:ascii="Calibri" w:cs="Calibri" w:eastAsia="Calibri" w:hAnsi="Calibri"/>
                <w:sz w:val="15"/>
                <w:szCs w:val="15"/>
              </w:rPr>
              <w:t xml:space="preserve">305-011  Gold Security and Sample Integrity Control</w:t>
            </w:r>
          </w:p>
        </w:tc>
        <w:tc>
          <w:tcPr>
            <w:tcW w:type="dxa" w:w="4426"/>
            <w:tcMar>
              <w:top w:type="dxa" w:w="55"/>
              <w:left w:type="dxa" w:w="85"/>
              <w:bottom w:type="dxa" w:w="55"/>
              <w:right w:type="dxa" w:w="85"/>
            </w:tcMar>
          </w:tcPr>
          <w:p>
            <w:pPr>
              <w:spacing w:after="0" w:line="235"/>
            </w:pPr>
            <w:r>
              <w:rPr>
                <w:rFonts w:ascii="Calibri" w:cs="Calibri" w:eastAsia="Calibri" w:hAnsi="Calibri"/>
                <w:sz w:val="15"/>
                <w:szCs w:val="15"/>
              </w:rPr>
              <w:t xml:space="preserve">Continuous.</w:t>
            </w:r>
          </w:p>
        </w:tc>
      </w:tr>
      <w:tr>
        <w:tc>
          <w:tcPr>
            <w:tcW w:type="dxa" w:w="460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305-012  Laboratory Equipment Preventive Maintenance and Calibration Register</w:t>
            </w:r>
          </w:p>
        </w:tc>
        <w:tc>
          <w:tcPr>
            <w:tcW w:type="dxa" w:w="4426"/>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Continuous; reviewed monthly.</w:t>
            </w:r>
          </w:p>
        </w:tc>
      </w:tr>
      <w:tr>
        <w:tc>
          <w:tcPr>
            <w:tcW w:type="dxa" w:w="4600"/>
            <w:tcMar>
              <w:top w:type="dxa" w:w="55"/>
              <w:left w:type="dxa" w:w="85"/>
              <w:bottom w:type="dxa" w:w="55"/>
              <w:right w:type="dxa" w:w="85"/>
            </w:tcMar>
          </w:tcPr>
          <w:p>
            <w:pPr>
              <w:spacing w:after="0" w:line="235"/>
            </w:pPr>
            <w:r>
              <w:rPr>
                <w:rFonts w:ascii="Calibri" w:cs="Calibri" w:eastAsia="Calibri" w:hAnsi="Calibri"/>
                <w:sz w:val="15"/>
                <w:szCs w:val="15"/>
              </w:rPr>
              <w:t xml:space="preserve">305-013  Dangerous Goods Cabinet Management - Flammable, Corrosive and Toxic/Poisons</w:t>
            </w:r>
          </w:p>
        </w:tc>
        <w:tc>
          <w:tcPr>
            <w:tcW w:type="dxa" w:w="4426"/>
            <w:tcMar>
              <w:top w:type="dxa" w:w="55"/>
              <w:left w:type="dxa" w:w="85"/>
              <w:bottom w:type="dxa" w:w="55"/>
              <w:right w:type="dxa" w:w="85"/>
            </w:tcMar>
          </w:tcPr>
          <w:p>
            <w:pPr>
              <w:spacing w:after="0" w:line="235"/>
            </w:pPr>
            <w:r>
              <w:rPr>
                <w:rFonts w:ascii="Calibri" w:cs="Calibri" w:eastAsia="Calibri" w:hAnsi="Calibri"/>
                <w:sz w:val="15"/>
                <w:szCs w:val="15"/>
              </w:rPr>
              <w:t xml:space="preserve">Continuous; inspected at the set interval.</w:t>
            </w:r>
          </w:p>
        </w:tc>
      </w:tr>
      <w:tr>
        <w:tc>
          <w:tcPr>
            <w:tcW w:type="dxa" w:w="460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305-014  Laboratory Compressed Air System and Pressure Vessel Statutory Inspection</w:t>
            </w:r>
          </w:p>
        </w:tc>
        <w:tc>
          <w:tcPr>
            <w:tcW w:type="dxa" w:w="4426"/>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Daily drain; statutory inspection at the regulated interval.</w:t>
            </w:r>
          </w:p>
        </w:tc>
      </w:tr>
      <w:tr>
        <w:tc>
          <w:tcPr>
            <w:tcW w:type="dxa" w:w="4600"/>
            <w:tcMar>
              <w:top w:type="dxa" w:w="55"/>
              <w:left w:type="dxa" w:w="85"/>
              <w:bottom w:type="dxa" w:w="55"/>
              <w:right w:type="dxa" w:w="85"/>
            </w:tcMar>
          </w:tcPr>
          <w:p>
            <w:pPr>
              <w:spacing w:after="0" w:line="235"/>
            </w:pPr>
            <w:r>
              <w:rPr>
                <w:rFonts w:ascii="Calibri" w:cs="Calibri" w:eastAsia="Calibri" w:hAnsi="Calibri"/>
                <w:sz w:val="15"/>
                <w:szCs w:val="15"/>
              </w:rPr>
              <w:t xml:space="preserve">305-015  Spill Kit, Fire Extinguisher and Emergency Equipment Inspection</w:t>
            </w:r>
          </w:p>
        </w:tc>
        <w:tc>
          <w:tcPr>
            <w:tcW w:type="dxa" w:w="4426"/>
            <w:tcMar>
              <w:top w:type="dxa" w:w="55"/>
              <w:left w:type="dxa" w:w="85"/>
              <w:bottom w:type="dxa" w:w="55"/>
              <w:right w:type="dxa" w:w="85"/>
            </w:tcMar>
          </w:tcPr>
          <w:p>
            <w:pPr>
              <w:spacing w:after="0" w:line="235"/>
            </w:pPr>
            <w:r>
              <w:rPr>
                <w:rFonts w:ascii="Calibri" w:cs="Calibri" w:eastAsia="Calibri" w:hAnsi="Calibri"/>
                <w:sz w:val="15"/>
                <w:szCs w:val="15"/>
              </w:rPr>
              <w:t xml:space="preserve">Monthly inspection; annual service.</w:t>
            </w:r>
          </w:p>
        </w:tc>
      </w:tr>
      <w:tr>
        <w:tc>
          <w:tcPr>
            <w:tcW w:type="dxa" w:w="460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305-016  Laboratory Equipment Receipt, Installation and Commissioning Handover</w:t>
            </w:r>
          </w:p>
        </w:tc>
        <w:tc>
          <w:tcPr>
            <w:tcW w:type="dxa" w:w="4426"/>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Once at laboratory establishment; then on every new instrument.</w:t>
            </w:r>
          </w:p>
        </w:tc>
      </w:tr>
    </w:tbl>
    <w:p>
      <w:pPr>
        <w:spacing w:after="60" w:before="0" w:line="245"/>
      </w:pPr>
    </w:p>
    <w:p>
      <w:pPr>
        <w:pStyle w:val="Heading1"/>
        <w:spacing w:after="120" w:before="260"/>
      </w:pPr>
      <w:r>
        <w:rPr>
          <w:rFonts w:ascii="Calibri" w:cs="Calibri" w:eastAsia="Calibri" w:hAnsi="Calibri"/>
          <w:b/>
          <w:bCs/>
          <w:color w:val="1F3864"/>
          <w:sz w:val="24"/>
          <w:szCs w:val="24"/>
        </w:rPr>
        <w:t xml:space="preserve">7  FLOWCHART</w:t>
      </w:r>
    </w:p>
    <w:p>
      <w:pPr>
        <w:spacing w:after="60" w:before="0" w:line="245"/>
      </w:pPr>
      <w:r>
        <w:rPr>
          <w:rFonts w:ascii="Calibri" w:cs="Calibri" w:eastAsia="Calibri" w:hAnsi="Calibri"/>
          <w:sz w:val="17"/>
          <w:szCs w:val="17"/>
        </w:rPr>
        <w:t xml:space="preserve">Not reproduced here. Each work instruction carries its own step sequence in Section 6.</w:t>
      </w:r>
    </w:p>
    <w:p>
      <w:pPr>
        <w:pStyle w:val="Heading1"/>
        <w:spacing w:after="120" w:before="260"/>
      </w:pPr>
      <w:r>
        <w:rPr>
          <w:rFonts w:ascii="Calibri" w:cs="Calibri" w:eastAsia="Calibri" w:hAnsi="Calibri"/>
          <w:b/>
          <w:bCs/>
          <w:color w:val="1F3864"/>
          <w:sz w:val="24"/>
          <w:szCs w:val="24"/>
        </w:rPr>
        <w:t xml:space="preserve">8  TRAINING</w:t>
      </w:r>
    </w:p>
    <w:p>
      <w:pPr>
        <w:spacing w:after="60" w:before="0" w:line="245"/>
      </w:pPr>
      <w:r>
        <w:rPr>
          <w:rFonts w:ascii="Calibri" w:cs="Calibri" w:eastAsia="Calibri" w:hAnsi="Calibri"/>
          <w:sz w:val="17"/>
          <w:szCs w:val="17"/>
        </w:rPr>
        <w:t xml:space="preserve">Every person carrying out a task in this area is trained and signed off against the work instruction for that task, and has signed on to the matching JSEA at a communication session.</w:t>
      </w:r>
    </w:p>
    <w:p>
      <w:pPr>
        <w:pStyle w:val="ListParagraph"/>
        <w:numPr>
          <w:ilvl w:val="0"/>
          <w:numId w:val="1"/>
        </w:numPr>
        <w:spacing w:after="60" w:line="245"/>
      </w:pPr>
      <w:r>
        <w:rPr>
          <w:rFonts w:ascii="Calibri" w:cs="Calibri" w:eastAsia="Calibri" w:hAnsi="Calibri"/>
          <w:sz w:val="17"/>
          <w:szCs w:val="17"/>
        </w:rPr>
        <w:t xml:space="preserve">Site induction, current.</w:t>
      </w:r>
    </w:p>
    <w:p>
      <w:pPr>
        <w:pStyle w:val="ListParagraph"/>
        <w:numPr>
          <w:ilvl w:val="0"/>
          <w:numId w:val="1"/>
        </w:numPr>
        <w:spacing w:after="60" w:line="245"/>
      </w:pPr>
      <w:r>
        <w:rPr>
          <w:rFonts w:ascii="Calibri" w:cs="Calibri" w:eastAsia="Calibri" w:hAnsi="Calibri"/>
          <w:sz w:val="17"/>
          <w:szCs w:val="17"/>
        </w:rPr>
        <w:t xml:space="preserve">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Working at height competency where the task requires it.</w:t>
      </w:r>
    </w:p>
    <w:p>
      <w:pPr>
        <w:pStyle w:val="ListParagraph"/>
        <w:numPr>
          <w:ilvl w:val="0"/>
          <w:numId w:val="1"/>
        </w:numPr>
        <w:spacing w:after="60" w:line="245"/>
      </w:pPr>
      <w:r>
        <w:rPr>
          <w:rFonts w:ascii="Calibri" w:cs="Calibri" w:eastAsia="Calibri" w:hAnsi="Calibri"/>
          <w:sz w:val="17"/>
          <w:szCs w:val="17"/>
        </w:rPr>
        <w:t xml:space="preserve">Competency in the determinations, instruments and calculations used in the task.</w:t>
      </w:r>
    </w:p>
    <w:p>
      <w:pPr>
        <w:pStyle w:val="ListParagraph"/>
        <w:numPr>
          <w:ilvl w:val="0"/>
          <w:numId w:val="1"/>
        </w:numPr>
        <w:spacing w:after="60" w:line="245"/>
      </w:pPr>
      <w:r>
        <w:rPr>
          <w:rFonts w:ascii="Calibri" w:cs="Calibri" w:eastAsia="Calibri" w:hAnsi="Calibri"/>
          <w:sz w:val="17"/>
          <w:szCs w:val="17"/>
        </w:rPr>
        <w:t xml:space="preserve">Refresher at the interval set by the site training matrix, and after any change to the instruction.</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No QA/QC procedure in the KBK set - a gap in their system as well as ours</w:t>
      </w:r>
    </w:p>
    <w:p>
      <w:pPr>
        <w:pStyle w:val="ListParagraph"/>
        <w:numPr>
          <w:ilvl w:val="0"/>
          <w:numId w:val="1"/>
        </w:numPr>
        <w:spacing w:after="60" w:line="245"/>
      </w:pPr>
      <w:r>
        <w:rPr>
          <w:rFonts w:ascii="Calibri" w:cs="Calibri" w:eastAsia="Calibri" w:hAnsi="Calibri"/>
          <w:sz w:val="17"/>
          <w:szCs w:val="17"/>
        </w:rPr>
        <w:t xml:space="preserve">Heritage register line JSEA-PRO-LAB-305-001, tab JSEA_LAB / SWI-LAB</w:t>
      </w:r>
    </w:p>
    <w:p>
      <w:pPr>
        <w:pStyle w:val="ListParagraph"/>
        <w:numPr>
          <w:ilvl w:val="0"/>
          <w:numId w:val="1"/>
        </w:numPr>
        <w:spacing w:after="60" w:line="245"/>
      </w:pPr>
      <w:r>
        <w:rPr>
          <w:rFonts w:ascii="Calibri" w:cs="Calibri" w:eastAsia="Calibri" w:hAnsi="Calibri"/>
          <w:sz w:val="17"/>
          <w:szCs w:val="17"/>
        </w:rPr>
        <w:t xml:space="preserve">Heritage register line JSEA-PRO-LAB-305-002, tab JSEA_LAB / SWI-LAB</w:t>
      </w:r>
    </w:p>
    <w:p>
      <w:pPr>
        <w:pStyle w:val="ListParagraph"/>
        <w:numPr>
          <w:ilvl w:val="0"/>
          <w:numId w:val="1"/>
        </w:numPr>
        <w:spacing w:after="60" w:line="245"/>
      </w:pPr>
      <w:r>
        <w:rPr>
          <w:rFonts w:ascii="Calibri" w:cs="Calibri" w:eastAsia="Calibri" w:hAnsi="Calibri"/>
          <w:sz w:val="17"/>
          <w:szCs w:val="17"/>
        </w:rPr>
        <w:t xml:space="preserve">KBK-MIR-LAB-PRE-SOP-009 covers dispatch only, not umpire assay management</w:t>
      </w:r>
    </w:p>
    <w:p>
      <w:pPr>
        <w:pStyle w:val="ListParagraph"/>
        <w:numPr>
          <w:ilvl w:val="0"/>
          <w:numId w:val="1"/>
        </w:numPr>
        <w:spacing w:after="60" w:line="245"/>
      </w:pPr>
      <w:r>
        <w:rPr>
          <w:rFonts w:ascii="Calibri" w:cs="Calibri" w:eastAsia="Calibri" w:hAnsi="Calibri"/>
          <w:sz w:val="17"/>
          <w:szCs w:val="17"/>
        </w:rPr>
        <w:t xml:space="preserve">Heritage register line JSEA-PRO-LAB-305-003, tab JSEA_LAB / SWI-LAB</w:t>
      </w:r>
    </w:p>
    <w:p>
      <w:pPr>
        <w:pStyle w:val="ListParagraph"/>
        <w:numPr>
          <w:ilvl w:val="0"/>
          <w:numId w:val="1"/>
        </w:numPr>
        <w:spacing w:after="60" w:line="245"/>
      </w:pPr>
      <w:r>
        <w:rPr>
          <w:rFonts w:ascii="Calibri" w:cs="Calibri" w:eastAsia="Calibri" w:hAnsi="Calibri"/>
          <w:sz w:val="17"/>
          <w:szCs w:val="17"/>
        </w:rPr>
        <w:t xml:space="preserve">KBK-MIR-LAB-WET-SOP-025 Pengambilan bahan kimia</w:t>
      </w:r>
    </w:p>
    <w:p>
      <w:pPr>
        <w:pStyle w:val="ListParagraph"/>
        <w:numPr>
          <w:ilvl w:val="0"/>
          <w:numId w:val="1"/>
        </w:numPr>
        <w:spacing w:after="60" w:line="245"/>
      </w:pPr>
      <w:r>
        <w:rPr>
          <w:rFonts w:ascii="Calibri" w:cs="Calibri" w:eastAsia="Calibri" w:hAnsi="Calibri"/>
          <w:sz w:val="17"/>
          <w:szCs w:val="17"/>
        </w:rPr>
        <w:t xml:space="preserve">Heritage register line JSEA-PRO-LAB-305-004, tab JSEA_LAB / SWI-LAB</w:t>
      </w:r>
    </w:p>
    <w:p>
      <w:pPr>
        <w:pStyle w:val="ListParagraph"/>
        <w:numPr>
          <w:ilvl w:val="0"/>
          <w:numId w:val="1"/>
        </w:numPr>
        <w:spacing w:after="60" w:line="245"/>
      </w:pPr>
      <w:r>
        <w:rPr>
          <w:rFonts w:ascii="Calibri" w:cs="Calibri" w:eastAsia="Calibri" w:hAnsi="Calibri"/>
          <w:sz w:val="17"/>
          <w:szCs w:val="17"/>
        </w:rPr>
        <w:t xml:space="preserve">KBK-MIR-LAB-WET-SOP-025; ILS quote Q0023979: 60 L toxic and poisons cabinet</w:t>
      </w:r>
    </w:p>
    <w:p>
      <w:pPr>
        <w:pStyle w:val="ListParagraph"/>
        <w:numPr>
          <w:ilvl w:val="0"/>
          <w:numId w:val="1"/>
        </w:numPr>
        <w:spacing w:after="60" w:line="245"/>
      </w:pPr>
      <w:r>
        <w:rPr>
          <w:rFonts w:ascii="Calibri" w:cs="Calibri" w:eastAsia="Calibri" w:hAnsi="Calibri"/>
          <w:sz w:val="17"/>
          <w:szCs w:val="17"/>
        </w:rPr>
        <w:t xml:space="preserve">Heritage register line JSEA-PRO-LAB-305-005, tab JSEA_LAB / SWI-LAB</w:t>
      </w:r>
    </w:p>
    <w:p>
      <w:pPr>
        <w:pStyle w:val="ListParagraph"/>
        <w:numPr>
          <w:ilvl w:val="0"/>
          <w:numId w:val="1"/>
        </w:numPr>
        <w:spacing w:after="60" w:line="245"/>
      </w:pPr>
      <w:r>
        <w:rPr>
          <w:rFonts w:ascii="Calibri" w:cs="Calibri" w:eastAsia="Calibri" w:hAnsi="Calibri"/>
          <w:sz w:val="17"/>
          <w:szCs w:val="17"/>
        </w:rPr>
        <w:t xml:space="preserve">SWI-022 Gas Detector Alarm Response (HCN and H2S), issued</w:t>
      </w:r>
    </w:p>
    <w:p>
      <w:pPr>
        <w:pStyle w:val="ListParagraph"/>
        <w:numPr>
          <w:ilvl w:val="0"/>
          <w:numId w:val="1"/>
        </w:numPr>
        <w:spacing w:after="60" w:line="245"/>
      </w:pPr>
      <w:r>
        <w:rPr>
          <w:rFonts w:ascii="Calibri" w:cs="Calibri" w:eastAsia="Calibri" w:hAnsi="Calibri"/>
          <w:sz w:val="17"/>
          <w:szCs w:val="17"/>
        </w:rPr>
        <w:t xml:space="preserve">Heritage register line JSEA-PRO-LAB-305-006, tab JSEA_LAB / SWI-LAB</w:t>
      </w:r>
    </w:p>
    <w:p>
      <w:pPr>
        <w:pStyle w:val="ListParagraph"/>
        <w:numPr>
          <w:ilvl w:val="0"/>
          <w:numId w:val="1"/>
        </w:numPr>
        <w:spacing w:after="60" w:line="245"/>
      </w:pPr>
      <w:r>
        <w:rPr>
          <w:rFonts w:ascii="Calibri" w:cs="Calibri" w:eastAsia="Calibri" w:hAnsi="Calibri"/>
          <w:sz w:val="17"/>
          <w:szCs w:val="17"/>
        </w:rPr>
        <w:t xml:space="preserve">ILS quote Q0023979: safety shower with eye wash plus 3 separate eye wash stations</w:t>
      </w:r>
    </w:p>
    <w:p>
      <w:pPr>
        <w:pStyle w:val="ListParagraph"/>
        <w:numPr>
          <w:ilvl w:val="0"/>
          <w:numId w:val="1"/>
        </w:numPr>
        <w:spacing w:after="60" w:line="245"/>
      </w:pPr>
      <w:r>
        <w:rPr>
          <w:rFonts w:ascii="Calibri" w:cs="Calibri" w:eastAsia="Calibri" w:hAnsi="Calibri"/>
          <w:sz w:val="17"/>
          <w:szCs w:val="17"/>
        </w:rPr>
        <w:t xml:space="preserve">Heritage register line JSEA-PRO-LAB-305-007, tab JSEA_LAB / SWI-LAB</w:t>
      </w:r>
    </w:p>
    <w:p>
      <w:pPr>
        <w:pStyle w:val="ListParagraph"/>
        <w:numPr>
          <w:ilvl w:val="0"/>
          <w:numId w:val="1"/>
        </w:numPr>
        <w:spacing w:after="60" w:line="245"/>
      </w:pPr>
      <w:r>
        <w:rPr>
          <w:rFonts w:ascii="Calibri" w:cs="Calibri" w:eastAsia="Calibri" w:hAnsi="Calibri"/>
          <w:sz w:val="17"/>
          <w:szCs w:val="17"/>
        </w:rPr>
        <w:t xml:space="preserve">KBK WET-SOP-054 and ENV-SOP-061; ILS quote Q0023979: Model A crossflow scrubber, exhaust fan, pH control and 12 m of 400 mm ducting</w:t>
      </w:r>
    </w:p>
    <w:p>
      <w:pPr>
        <w:pStyle w:val="ListParagraph"/>
        <w:numPr>
          <w:ilvl w:val="0"/>
          <w:numId w:val="1"/>
        </w:numPr>
        <w:spacing w:after="60" w:line="245"/>
      </w:pPr>
      <w:r>
        <w:rPr>
          <w:rFonts w:ascii="Calibri" w:cs="Calibri" w:eastAsia="Calibri" w:hAnsi="Calibri"/>
          <w:sz w:val="17"/>
          <w:szCs w:val="17"/>
        </w:rPr>
        <w:t xml:space="preserve">Heritage register line JSEA-PRO-LAB-305-008, tab JSEA_LAB / SWI-LAB</w:t>
      </w:r>
    </w:p>
    <w:p>
      <w:pPr>
        <w:pStyle w:val="ListParagraph"/>
        <w:numPr>
          <w:ilvl w:val="0"/>
          <w:numId w:val="1"/>
        </w:numPr>
        <w:spacing w:after="60" w:line="245"/>
      </w:pPr>
      <w:r>
        <w:rPr>
          <w:rFonts w:ascii="Calibri" w:cs="Calibri" w:eastAsia="Calibri" w:hAnsi="Calibri"/>
          <w:sz w:val="17"/>
          <w:szCs w:val="17"/>
        </w:rPr>
        <w:t xml:space="preserve">KBK-MIR-LAB-ENV-SOP-058 and -106 waste handling and neutralisation</w:t>
      </w:r>
    </w:p>
    <w:p>
      <w:pPr>
        <w:pStyle w:val="ListParagraph"/>
        <w:numPr>
          <w:ilvl w:val="0"/>
          <w:numId w:val="1"/>
        </w:numPr>
        <w:spacing w:after="60" w:line="245"/>
      </w:pPr>
      <w:r>
        <w:rPr>
          <w:rFonts w:ascii="Calibri" w:cs="Calibri" w:eastAsia="Calibri" w:hAnsi="Calibri"/>
          <w:sz w:val="17"/>
          <w:szCs w:val="17"/>
        </w:rPr>
        <w:t xml:space="preserve">Heritage register line JSEA-PRO-LAB-305-009, tab JSEA_LAB / SWI-LAB</w:t>
      </w:r>
    </w:p>
    <w:p>
      <w:pPr>
        <w:pStyle w:val="ListParagraph"/>
        <w:numPr>
          <w:ilvl w:val="0"/>
          <w:numId w:val="1"/>
        </w:numPr>
        <w:spacing w:after="60" w:line="245"/>
      </w:pPr>
      <w:r>
        <w:rPr>
          <w:rFonts w:ascii="Calibri" w:cs="Calibri" w:eastAsia="Calibri" w:hAnsi="Calibri"/>
          <w:sz w:val="17"/>
          <w:szCs w:val="17"/>
        </w:rPr>
        <w:t xml:space="preserve">KBK-MIR-LAB-WET-SOP-059, ENV-SOP-060 and -062 cleaning procedures</w:t>
      </w:r>
    </w:p>
    <w:p>
      <w:pPr>
        <w:pStyle w:val="ListParagraph"/>
        <w:numPr>
          <w:ilvl w:val="0"/>
          <w:numId w:val="1"/>
        </w:numPr>
        <w:spacing w:after="60" w:line="245"/>
      </w:pPr>
      <w:r>
        <w:rPr>
          <w:rFonts w:ascii="Calibri" w:cs="Calibri" w:eastAsia="Calibri" w:hAnsi="Calibri"/>
          <w:sz w:val="17"/>
          <w:szCs w:val="17"/>
        </w:rPr>
        <w:t xml:space="preserve">Heritage register line JSEA-PRO-LAB-305-010, tab JSEA_LAB / SWI-LAB</w:t>
      </w:r>
    </w:p>
    <w:p>
      <w:pPr>
        <w:pStyle w:val="ListParagraph"/>
        <w:numPr>
          <w:ilvl w:val="0"/>
          <w:numId w:val="1"/>
        </w:numPr>
        <w:spacing w:after="60" w:line="245"/>
      </w:pPr>
      <w:r>
        <w:rPr>
          <w:rFonts w:ascii="Calibri" w:cs="Calibri" w:eastAsia="Calibri" w:hAnsi="Calibri"/>
          <w:sz w:val="17"/>
          <w:szCs w:val="17"/>
        </w:rPr>
        <w:t xml:space="preserve">ILS quote Q0023979: Safe NV1 single shelf in the bullion assay area</w:t>
      </w:r>
    </w:p>
    <w:p>
      <w:pPr>
        <w:pStyle w:val="ListParagraph"/>
        <w:numPr>
          <w:ilvl w:val="0"/>
          <w:numId w:val="1"/>
        </w:numPr>
        <w:spacing w:after="60" w:line="245"/>
      </w:pPr>
      <w:r>
        <w:rPr>
          <w:rFonts w:ascii="Calibri" w:cs="Calibri" w:eastAsia="Calibri" w:hAnsi="Calibri"/>
          <w:sz w:val="17"/>
          <w:szCs w:val="17"/>
        </w:rPr>
        <w:t xml:space="preserve">Heritage register line JSEA-PRO-LAB-305-011, tab JSEA_LAB / SWI-LAB</w:t>
      </w:r>
    </w:p>
    <w:p>
      <w:pPr>
        <w:pStyle w:val="ListParagraph"/>
        <w:numPr>
          <w:ilvl w:val="0"/>
          <w:numId w:val="1"/>
        </w:numPr>
        <w:spacing w:after="60" w:line="245"/>
      </w:pPr>
      <w:r>
        <w:rPr>
          <w:rFonts w:ascii="Calibri" w:cs="Calibri" w:eastAsia="Calibri" w:hAnsi="Calibri"/>
          <w:sz w:val="17"/>
          <w:szCs w:val="17"/>
        </w:rPr>
        <w:t xml:space="preserve">ILS quote Q0023979 is the asset list the register should be built from</w:t>
      </w:r>
    </w:p>
    <w:p>
      <w:pPr>
        <w:pStyle w:val="ListParagraph"/>
        <w:numPr>
          <w:ilvl w:val="0"/>
          <w:numId w:val="1"/>
        </w:numPr>
        <w:spacing w:after="60" w:line="245"/>
      </w:pPr>
      <w:r>
        <w:rPr>
          <w:rFonts w:ascii="Calibri" w:cs="Calibri" w:eastAsia="Calibri" w:hAnsi="Calibri"/>
          <w:sz w:val="17"/>
          <w:szCs w:val="17"/>
        </w:rPr>
        <w:t xml:space="preserve">Heritage register line JSEA-PRO-LAB-305-012, tab JSEA_LAB / SWI-LAB</w:t>
      </w:r>
    </w:p>
    <w:p>
      <w:pPr>
        <w:pStyle w:val="ListParagraph"/>
        <w:numPr>
          <w:ilvl w:val="0"/>
          <w:numId w:val="1"/>
        </w:numPr>
        <w:spacing w:after="60" w:line="245"/>
      </w:pPr>
      <w:r>
        <w:rPr>
          <w:rFonts w:ascii="Calibri" w:cs="Calibri" w:eastAsia="Calibri" w:hAnsi="Calibri"/>
          <w:sz w:val="17"/>
          <w:szCs w:val="17"/>
        </w:rPr>
        <w:t xml:space="preserve">ILS quote Q0023979: 160 L flammable, 160 L corrosive and 60 L toxic/poisons cabinets; KBK WET-SOP-025</w:t>
      </w:r>
    </w:p>
    <w:p>
      <w:pPr>
        <w:pStyle w:val="ListParagraph"/>
        <w:numPr>
          <w:ilvl w:val="0"/>
          <w:numId w:val="1"/>
        </w:numPr>
        <w:spacing w:after="60" w:line="245"/>
      </w:pPr>
      <w:r>
        <w:rPr>
          <w:rFonts w:ascii="Calibri" w:cs="Calibri" w:eastAsia="Calibri" w:hAnsi="Calibri"/>
          <w:sz w:val="17"/>
          <w:szCs w:val="17"/>
        </w:rPr>
        <w:t xml:space="preserve">Heritage register line JSEA-PRO-LAB-305-013, tab JSEA_LAB / SWI-LAB</w:t>
      </w:r>
    </w:p>
    <w:p>
      <w:pPr>
        <w:pStyle w:val="ListParagraph"/>
        <w:numPr>
          <w:ilvl w:val="0"/>
          <w:numId w:val="1"/>
        </w:numPr>
        <w:spacing w:after="60" w:line="245"/>
      </w:pPr>
      <w:r>
        <w:rPr>
          <w:rFonts w:ascii="Calibri" w:cs="Calibri" w:eastAsia="Calibri" w:hAnsi="Calibri"/>
          <w:sz w:val="17"/>
          <w:szCs w:val="17"/>
        </w:rPr>
        <w:t xml:space="preserve">ILS quote Q0023979: Pneumark PM 7.5 kW, 43 cfm, 600 L receiver. A registered pressure vessel in Queensland - statutory inspection applies</w:t>
      </w:r>
    </w:p>
    <w:p>
      <w:pPr>
        <w:pStyle w:val="ListParagraph"/>
        <w:numPr>
          <w:ilvl w:val="0"/>
          <w:numId w:val="1"/>
        </w:numPr>
        <w:spacing w:after="60" w:line="245"/>
      </w:pPr>
      <w:r>
        <w:rPr>
          <w:rFonts w:ascii="Calibri" w:cs="Calibri" w:eastAsia="Calibri" w:hAnsi="Calibri"/>
          <w:sz w:val="17"/>
          <w:szCs w:val="17"/>
        </w:rPr>
        <w:t xml:space="preserve">Heritage register line JSEA-PRO-LAB-305-014, tab JSEA_LAB / SWI-LAB</w:t>
      </w:r>
    </w:p>
    <w:p>
      <w:pPr>
        <w:pStyle w:val="ListParagraph"/>
        <w:numPr>
          <w:ilvl w:val="0"/>
          <w:numId w:val="1"/>
        </w:numPr>
        <w:spacing w:after="60" w:line="245"/>
      </w:pPr>
      <w:r>
        <w:rPr>
          <w:rFonts w:ascii="Calibri" w:cs="Calibri" w:eastAsia="Calibri" w:hAnsi="Calibri"/>
          <w:sz w:val="17"/>
          <w:szCs w:val="17"/>
        </w:rPr>
        <w:t xml:space="preserve">ILS quote Q0023979: 120 L hazchem spill kit, 3 x 9 kg extinguishers, first aid kit. No inspection routine held</w:t>
      </w:r>
    </w:p>
    <w:p>
      <w:pPr>
        <w:pStyle w:val="ListParagraph"/>
        <w:numPr>
          <w:ilvl w:val="0"/>
          <w:numId w:val="1"/>
        </w:numPr>
        <w:spacing w:after="60" w:line="245"/>
      </w:pPr>
      <w:r>
        <w:rPr>
          <w:rFonts w:ascii="Calibri" w:cs="Calibri" w:eastAsia="Calibri" w:hAnsi="Calibri"/>
          <w:sz w:val="17"/>
          <w:szCs w:val="17"/>
        </w:rPr>
        <w:t xml:space="preserve">Heritage register line JSEA-PRO-LAB-305-015, tab JSEA_LAB / SWI-LAB</w:t>
      </w:r>
    </w:p>
    <w:p>
      <w:pPr>
        <w:pStyle w:val="ListParagraph"/>
        <w:numPr>
          <w:ilvl w:val="0"/>
          <w:numId w:val="1"/>
        </w:numPr>
        <w:spacing w:after="60" w:line="245"/>
      </w:pPr>
      <w:r>
        <w:rPr>
          <w:rFonts w:ascii="Calibri" w:cs="Calibri" w:eastAsia="Calibri" w:hAnsi="Calibri"/>
          <w:sz w:val="17"/>
          <w:szCs w:val="17"/>
        </w:rPr>
        <w:t xml:space="preserve">ILS quote Q0023979 is the asset list and the commissioning milestone; lead time 12 to 18 weeks ex works</w:t>
      </w:r>
    </w:p>
    <w:p>
      <w:pPr>
        <w:pStyle w:val="ListParagraph"/>
        <w:numPr>
          <w:ilvl w:val="0"/>
          <w:numId w:val="1"/>
        </w:numPr>
        <w:spacing w:after="60" w:line="245"/>
      </w:pPr>
      <w:r>
        <w:rPr>
          <w:rFonts w:ascii="Calibri" w:cs="Calibri" w:eastAsia="Calibri" w:hAnsi="Calibri"/>
          <w:sz w:val="17"/>
          <w:szCs w:val="17"/>
        </w:rPr>
        <w:t xml:space="preserve">Heritage register line JSEA-PRO-LAB-305-016, tab JSEA_LAB / SWI-LAB</w:t>
      </w:r>
    </w:p>
    <w:p>
      <w:pPr>
        <w:pStyle w:val="Heading1"/>
        <w:spacing w:after="120" w:before="260"/>
      </w:pPr>
      <w:r>
        <w:rPr>
          <w:rFonts w:ascii="Calibri" w:cs="Calibri" w:eastAsia="Calibri" w:hAnsi="Calibri"/>
          <w:b/>
          <w:bCs/>
          <w:color w:val="1F3864"/>
          <w:sz w:val="24"/>
          <w:szCs w:val="24"/>
        </w:rPr>
        <w:t xml:space="preserve">10  REVIEW</w:t>
      </w:r>
    </w:p>
    <w:p>
      <w:pPr>
        <w:spacing w:after="60" w:before="0" w:line="245"/>
      </w:pPr>
      <w:r>
        <w:rPr>
          <w:rFonts w:ascii="Calibri" w:cs="Calibri" w:eastAsia="Calibri" w:hAnsi="Calibri"/>
          <w:sz w:val="17"/>
          <w:szCs w:val="17"/>
        </w:rPr>
        <w:t xml:space="preserve">This procedure and the documents beneath it are reviewed every 12 months, and immediately after any incident, plant change, equipment change or change to the schedule.</w:t>
      </w:r>
    </w:p>
    <w:p>
      <w:pPr>
        <w:pStyle w:val="Heading1"/>
        <w:spacing w:after="120" w:before="260"/>
      </w:pPr>
      <w:r>
        <w:rPr>
          <w:rFonts w:ascii="Calibri" w:cs="Calibri" w:eastAsia="Calibri" w:hAnsi="Calibri"/>
          <w:b/>
          <w:bCs/>
          <w:color w:val="1F3864"/>
          <w:sz w:val="24"/>
          <w:szCs w:val="24"/>
        </w:rPr>
        <w:t xml:space="preserve">11  REGISTER TRACEABILITY</w:t>
      </w:r>
    </w:p>
    <w:p>
      <w:pPr>
        <w:spacing w:after="60" w:before="0" w:line="245"/>
      </w:pPr>
      <w:r>
        <w:rPr>
          <w:rFonts w:ascii="Calibri" w:cs="Calibri" w:eastAsia="Calibri" w:hAnsi="Calibri"/>
          <w:sz w:val="17"/>
          <w:szCs w:val="17"/>
        </w:rPr>
        <w:t xml:space="preserve">The three-digit suffix is shared between the two registers, so SWI-PRO-LAB-305-011 is the work instruction for JSEA-PRO-LAB-305-011.</w:t>
      </w:r>
    </w:p>
    <w:p>
      <w:pPr>
        <w:spacing w:after="60" w:before="0" w:line="245"/>
      </w:pPr>
      <w:r>
        <w:rPr>
          <w:rFonts w:ascii="Calibri" w:cs="Calibri" w:eastAsia="Calibri" w:hAnsi="Calibri"/>
          <w:sz w:val="17"/>
          <w:szCs w:val="17"/>
        </w:rPr>
        <w:t xml:space="preserve">Registers: HM-MMM-WHS-REG-JSEA-PRO-updated_10.xlsx tab JSEA_LAB, and HM-MMM-WHS-REG-XXX-R00-SWI-SWMS.xlsx tab SWI-LAB. GGT working masters are MM-4034-033-OR-03-JSEA-Register-RevF.xlsx and MM-4034-033-OR-03-SWI-Register-RevF.xlsx.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200"/>
        <w:gridCol w:w="3826"/>
      </w:tblGrid>
      <w:tr>
        <w:trPr>
          <w:tblHeader/>
        </w:trPr>
        <w:tc>
          <w:tcPr>
            <w:tcW w:type="dxa" w:w="52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Item</w:t>
            </w:r>
          </w:p>
        </w:tc>
        <w:tc>
          <w:tcPr>
            <w:tcW w:type="dxa" w:w="38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Count</w:t>
            </w:r>
          </w:p>
        </w:tc>
      </w:tr>
      <w:tr>
        <w:tc>
          <w:tcPr>
            <w:tcW w:type="dxa" w:w="5200"/>
            <w:tcMar>
              <w:top w:type="dxa" w:w="55"/>
              <w:left w:type="dxa" w:w="85"/>
              <w:bottom w:type="dxa" w:w="55"/>
              <w:right w:type="dxa" w:w="85"/>
            </w:tcMar>
          </w:tcPr>
          <w:p>
            <w:pPr>
              <w:spacing w:after="0" w:line="235"/>
            </w:pPr>
            <w:r>
              <w:rPr>
                <w:rFonts w:ascii="Calibri" w:cs="Calibri" w:eastAsia="Calibri" w:hAnsi="Calibri"/>
                <w:sz w:val="16"/>
                <w:szCs w:val="16"/>
              </w:rPr>
              <w:t xml:space="preserve">Register lines in area 305</w:t>
            </w:r>
          </w:p>
        </w:tc>
        <w:tc>
          <w:tcPr>
            <w:tcW w:type="dxa" w:w="3826"/>
            <w:tcMar>
              <w:top w:type="dxa" w:w="55"/>
              <w:left w:type="dxa" w:w="85"/>
              <w:bottom w:type="dxa" w:w="55"/>
              <w:right w:type="dxa" w:w="85"/>
            </w:tcMar>
          </w:tcPr>
          <w:p>
            <w:pPr>
              <w:spacing w:after="0" w:line="235"/>
            </w:pPr>
            <w:r>
              <w:rPr>
                <w:rFonts w:ascii="Calibri" w:cs="Calibri" w:eastAsia="Calibri" w:hAnsi="Calibri"/>
                <w:sz w:val="16"/>
                <w:szCs w:val="16"/>
              </w:rPr>
              <w:t xml:space="preserve">16</w:t>
            </w:r>
          </w:p>
        </w:tc>
      </w:tr>
      <w:tr>
        <w:tc>
          <w:tcPr>
            <w:tcW w:type="dxa" w:w="52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Hazard analyses issued</w:t>
            </w:r>
          </w:p>
        </w:tc>
        <w:tc>
          <w:tcPr>
            <w:tcW w:type="dxa" w:w="38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16</w:t>
            </w:r>
          </w:p>
        </w:tc>
      </w:tr>
      <w:tr>
        <w:tc>
          <w:tcPr>
            <w:tcW w:type="dxa" w:w="5200"/>
            <w:tcMar>
              <w:top w:type="dxa" w:w="55"/>
              <w:left w:type="dxa" w:w="85"/>
              <w:bottom w:type="dxa" w:w="55"/>
              <w:right w:type="dxa" w:w="85"/>
            </w:tcMar>
          </w:tcPr>
          <w:p>
            <w:pPr>
              <w:spacing w:after="0" w:line="235"/>
            </w:pPr>
            <w:r>
              <w:rPr>
                <w:rFonts w:ascii="Calibri" w:cs="Calibri" w:eastAsia="Calibri" w:hAnsi="Calibri"/>
                <w:sz w:val="16"/>
                <w:szCs w:val="16"/>
              </w:rPr>
              <w:t xml:space="preserve">Work instructions issued</w:t>
            </w:r>
          </w:p>
        </w:tc>
        <w:tc>
          <w:tcPr>
            <w:tcW w:type="dxa" w:w="3826"/>
            <w:tcMar>
              <w:top w:type="dxa" w:w="55"/>
              <w:left w:type="dxa" w:w="85"/>
              <w:bottom w:type="dxa" w:w="55"/>
              <w:right w:type="dxa" w:w="85"/>
            </w:tcMar>
          </w:tcPr>
          <w:p>
            <w:pPr>
              <w:spacing w:after="0" w:line="235"/>
            </w:pPr>
            <w:r>
              <w:rPr>
                <w:rFonts w:ascii="Calibri" w:cs="Calibri" w:eastAsia="Calibri" w:hAnsi="Calibri"/>
                <w:sz w:val="16"/>
                <w:szCs w:val="16"/>
              </w:rPr>
              <w:t xml:space="preserve">12</w:t>
            </w:r>
          </w:p>
        </w:tc>
      </w:tr>
      <w:tr>
        <w:tc>
          <w:tcPr>
            <w:tcW w:type="dxa" w:w="52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Desk-based tasks with a JSEA but no work instruction</w:t>
            </w:r>
          </w:p>
        </w:tc>
        <w:tc>
          <w:tcPr>
            <w:tcW w:type="dxa" w:w="38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4</w:t>
            </w:r>
          </w:p>
        </w:tc>
      </w:tr>
      <w:tr>
        <w:tc>
          <w:tcPr>
            <w:tcW w:type="dxa" w:w="5200"/>
            <w:tcMar>
              <w:top w:type="dxa" w:w="55"/>
              <w:left w:type="dxa" w:w="85"/>
              <w:bottom w:type="dxa" w:w="55"/>
              <w:right w:type="dxa" w:w="85"/>
            </w:tcMar>
          </w:tcPr>
          <w:p>
            <w:pPr>
              <w:spacing w:after="0" w:line="235"/>
            </w:pPr>
            <w:r>
              <w:rPr>
                <w:rFonts w:ascii="Calibri" w:cs="Calibri" w:eastAsia="Calibri" w:hAnsi="Calibri"/>
                <w:sz w:val="16"/>
                <w:szCs w:val="16"/>
              </w:rPr>
              <w:t xml:space="preserve">Safety-critical</w:t>
            </w:r>
          </w:p>
        </w:tc>
        <w:tc>
          <w:tcPr>
            <w:tcW w:type="dxa" w:w="3826"/>
            <w:tcMar>
              <w:top w:type="dxa" w:w="55"/>
              <w:left w:type="dxa" w:w="85"/>
              <w:bottom w:type="dxa" w:w="55"/>
              <w:right w:type="dxa" w:w="85"/>
            </w:tcMar>
          </w:tcPr>
          <w:p>
            <w:pPr>
              <w:spacing w:after="0" w:line="235"/>
            </w:pPr>
            <w:r>
              <w:rPr>
                <w:rFonts w:ascii="Calibri" w:cs="Calibri" w:eastAsia="Calibri" w:hAnsi="Calibri"/>
                <w:sz w:val="16"/>
                <w:szCs w:val="16"/>
              </w:rPr>
              <w:t xml:space="preserve">12</w:t>
            </w:r>
          </w:p>
        </w:tc>
      </w:tr>
      <w:tr>
        <w:tc>
          <w:tcPr>
            <w:tcW w:type="dxa" w:w="52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Issued but NOT FOR USE</w:t>
            </w:r>
          </w:p>
        </w:tc>
        <w:tc>
          <w:tcPr>
            <w:tcW w:type="dxa" w:w="38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0</w:t>
            </w:r>
          </w:p>
        </w:tc>
      </w:tr>
    </w:tbl>
    <w:p>
      <w:pPr>
        <w:spacing w:after="60" w:before="0" w:line="245"/>
      </w:pP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HM-PRC-VXX-PRO216  ·  Laboratory Services, Safety and Quality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