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 Sieve Analysis - Ro-Tap RX29 and 200 mm Sieve Set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Dry Sieve Analysis - Ro-Tap RX29 and 200 mm Sieve Set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SWI-PRO-MET-204-016 - Dry Sieve Analysis - Ro-Tap RX29 and 200 mm Sieve Set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size distribution of a dry sample by mechanical sieving.</w:t>
            </w:r>
          </w:p>
          <w:p w14:paraId="2578DD76" w14:textId="77777777" w:rsidR="00294C35" w:rsidRPr="00294C35" w:rsidRDefault="00294C35" w:rsidP="00294C35">
            <w:pPr>
              <w:rPr>
                <w:sz w:val="20"/>
                <w:szCs w:val="20"/>
              </w:rPr>
            </w:pPr>
            <w:r>
              <w:rPr>
                <w:sz w:val="20"/>
                <w:szCs w:val="20"/>
              </w:rPr>
              <w:t xml:space="preserve">The standard sizing method for anything that does not need wet screening first.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As required by the analysis schedule.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HM-PRC-VXX-PRO208 - Metallurgical Laboratory Physical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SWI-PRO-MET-204-016 in HM-MMM-WHS-REG-XXX-R00-SWI-SWMS, tab SWI-MET. The matching hazard analysis is JSEA-PRO-MET-204-016.</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RX29 and sound enclosure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200 mm sieve set 38 um to 2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Brushes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Ultrasonic sieve cleaner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Receiving pan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Sieve and Sample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Damaged or blinded sieve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Dust from the dry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sieve set is clean and the apertures are intact before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sample to constant mass and record the dry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Stack the sieves in descending aperture order with the pan at the bottom.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Sieving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Overloaded sieve blinding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shaker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Hands caught in the shaker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the sample onto the top sieve. Do not overload - an overloaded sieve blinds and under-reports the fines.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Shake on the Ro-Tap for the standard period with the sound enclosure closed.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Close the sound enclosure and wear hearing protection. Keep hands clear until the shaker has stopped.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Weighing and Mass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Loss above tolerance reported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Sieve set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each retained fraction and the pan.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sum against the dry mass and repeat if the loss exceeds tolerance.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the sieves immediately after use and record the sieve set identity against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Physical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Dry Sieve Analysis - Ro-Tap RX29 and 200 mm Sieve Set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Ro-Tap RX29 shaker, sound enclosure and twelve 200 mm sieves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Kehalusan Sampel</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Contact with Moving Equipment If a person is caught by or struck by the shaker or other bench equipment,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SWI-PRO-MET-204-016</w:t>
          </w:r>
          <w:r w:rsidR="00945F8F" w:rsidRPr="00945F8F">
            <w:rPr>
              <w:sz w:val="16"/>
              <w:szCs w:val="16"/>
            </w:rPr>
            <w:t xml:space="preserve"> — </w:t>
          </w:r>
          <w:r w:rsidR="005D5479" w:rsidRPr="005D5479">
            <w:rPr>
              <w:sz w:val="16"/>
              <w:szCs w:val="16"/>
            </w:rPr>
            <w:t>Dry Sieve Analysis - Ro-Tap RX29 and 200 mm Sieve Set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Dry Sieve Analysis - Ro-Tap RX29 and 200 mm Sieve Set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SWI-PRO-MET-204-016 - Dry Sieve Analysis - Ro-Tap RX29 and 200 mm Sieve Set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