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Tails Thickener Feed, Overflow and Underflow Sampling</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051 Tails Thickener</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 'Tailing Flocculant Solution Sampling' (DOC-3-MET-PRS-WIN-00064-IE, v1.0, issued 25/12/2024) added as Section 6 Part B. Not approved until reviewed. JSEA JSEA-PRO-MET-201-017 must be updated for the added hazard row.</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thickener feed, overflow and underflow solids and assay.</w:t>
      </w:r>
    </w:p>
    <w:p>
      <w:pPr>
        <w:spacing w:after="60" w:before="0" w:line="245"/>
      </w:pPr>
      <w:r>
        <w:rPr>
          <w:rFonts w:ascii="Calibri" w:cs="Calibri" w:eastAsia="Calibri" w:hAnsi="Calibri"/>
          <w:sz w:val="17"/>
          <w:szCs w:val="17"/>
        </w:rPr>
        <w:t xml:space="preserve">Overflow solids is the direct measure of whether flocculation is working. Underflow density sets the tailings pumping duty.</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051-TH-006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Tails thickener - feed, overflow launder and underflow</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Flocculant dosing</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Dose rate read at the time of sampling</w:t>
            </w:r>
          </w:p>
        </w:tc>
      </w:tr>
    </w:tbl>
    <w:p>
      <w:pPr>
        <w:spacing w:after="60" w:before="0" w:line="245"/>
      </w:pPr>
    </w:p>
    <w:p>
      <w:pPr>
        <w:spacing w:after="60" w:before="0" w:line="245"/>
      </w:pPr>
      <w:r>
        <w:rPr>
          <w:rFonts w:ascii="Calibri" w:cs="Calibri" w:eastAsia="Calibri" w:hAnsi="Calibri"/>
          <w:sz w:val="17"/>
          <w:szCs w:val="17"/>
        </w:rPr>
        <w:t xml:space="preserve">Frequency: Hourly on overflow and underflow; each shift on feed.</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SWI-PRO-MET-201-017 in HM-MMM-WHS-REG-XXX-R00-SWI-SWMS, tab SWI-MET. The matching hazard analysis is JSEA-PRO-MET-201-017.</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JSEA-PRO-MET-201-017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Flocculant solution contact, slippery floor and pinch point at the flocculant mixing area</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Latex or chemical-resistant gloves, hard hat, glasses and safety boots. Open and close valves with the body in an ergonomic position, without hurrying; stop at any pain. Hands clear of the feed valve pinch points. Watch footing on wet floors. No sampling during flocculant lifting.</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JSEA-PRO-MET-201-017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TSS meter or filter set for overflow</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Bottles 250 mL</w:t>
      </w:r>
    </w:p>
    <w:p>
      <w:pPr>
        <w:pStyle w:val="ListParagraph"/>
        <w:numPr>
          <w:ilvl w:val="0"/>
          <w:numId w:val="1"/>
        </w:numPr>
        <w:spacing w:after="60" w:line="245"/>
      </w:pPr>
      <w:r>
        <w:rPr>
          <w:rFonts w:ascii="Calibri" w:cs="Calibri" w:eastAsia="Calibri" w:hAnsi="Calibri"/>
          <w:sz w:val="17"/>
          <w:szCs w:val="17"/>
        </w:rPr>
        <w:t xml:space="preserve">Spatula</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ListParagraph"/>
        <w:numPr>
          <w:ilvl w:val="0"/>
          <w:numId w:val="1"/>
        </w:numPr>
        <w:spacing w:after="60" w:line="245"/>
      </w:pPr>
      <w:r>
        <w:rPr>
          <w:rFonts w:ascii="Calibri" w:cs="Calibri" w:eastAsia="Calibri" w:hAnsi="Calibri"/>
          <w:sz w:val="17"/>
          <w:szCs w:val="17"/>
        </w:rPr>
        <w:t xml:space="preserve">[M] Small sample bottle for the flocculant solution</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Thickener feed, overflow and underflow sampling</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thickener is at steady bed level and rake torque before sampling - a sample taken during a bed upset is not representative.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the overflow sample from the launder, clear of the weir turbulence.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Take the underflow sample from the designated valve on the underflow line, flushing first.</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Determine per cent solids on the underflow with the Marcy scale.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Determine suspended solids on the overflow - the overflow should be clear; visible solids means flocculation has failed and is reported immediately.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Determine pH and free cyanide on the overflow, because the overflow returns to process water.</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bed level, rake torque, underflow flow and flocculant dose rate at the time of sampling.</w:t>
      </w:r>
    </w:p>
    <w:p>
      <w:pPr>
        <w:spacing w:after="90" w:before="180" w:line="245"/>
        <w:keepNext/>
      </w:pPr>
      <w:r>
        <w:rPr>
          <w:rFonts w:ascii="Calibri" w:cs="Calibri" w:eastAsia="Calibri" w:hAnsi="Calibri"/>
          <w:b/>
          <w:bCs/>
          <w:color w:val="1F3864"/>
          <w:sz w:val="19"/>
          <w:szCs w:val="19"/>
        </w:rPr>
        <w:t xml:space="preserve">Part B - Flocculant solution sampling at the flocculant mixing area [M]</w:t>
      </w:r>
    </w:p>
    <w:p>
      <w:pPr>
        <w:spacing w:after="60" w:before="0" w:line="245"/>
      </w:pPr>
      <w:r>
        <w:rPr>
          <w:rFonts w:ascii="Calibri" w:cs="Calibri" w:eastAsia="Calibri" w:hAnsi="Calibri"/>
          <w:sz w:val="17"/>
          <w:szCs w:val="17"/>
        </w:rPr>
        <w:t xml:space="preserve">[M] = taken from the Martabe team work instruction "Tailing Flocculant Solution Sampling (DOC-3-MET-PRS-WIN-00064-IE)"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take a sample of the made-up flocculant solution. Part A only records the dose rate; the solution strength is needed for the flocculant dose work in SWI-PRO-MET-204-010.</w:t>
      </w:r>
    </w:p>
    <w:p>
      <w:pPr>
        <w:spacing w:after="60" w:before="0" w:line="245"/>
      </w:pPr>
      <w:r>
        <w:rPr>
          <w:rFonts w:ascii="Calibri" w:cs="Calibri" w:eastAsia="Calibri" w:hAnsi="Calibri"/>
          <w:b/>
          <w:sz w:val="17"/>
          <w:szCs w:val="17"/>
        </w:rPr>
        <w:t xml:space="preserve">Safety [M]: do not sample while flocculant lifting or handling is under way - wait until it has finished. Slippery floors and pinch points at the feed valve are the main hazards.</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Take 5 minutes before starting ('Take 5'). Confirm Section 3 controls are in place and the sample bottle is ready and in good condition. If not, stop and report.</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The sampling point is the flocculant tube in the flocculant mixing area. Open one of the control valves next to the sampling tube, on the line with the pump running.</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Open the tube cover and wait for the tube to fill with flocculant solution. Close the valve when the tube is full.</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Put the bottle into the tube and fill it to the top with flocculant solution.</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To empty the tube, close the feed valve and the control valve together, then return the valves to their normal position. Close the tube cover.</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23. Slurry Tail Sampling [LIVE]</w:t>
      </w:r>
    </w:p>
    <w:p>
      <w:pPr>
        <w:pStyle w:val="ListParagraph"/>
        <w:numPr>
          <w:ilvl w:val="0"/>
          <w:numId w:val="1"/>
        </w:numPr>
        <w:spacing w:after="60" w:line="245"/>
      </w:pPr>
      <w:r>
        <w:rPr>
          <w:rFonts w:ascii="Calibri" w:cs="Calibri" w:eastAsia="Calibri" w:hAnsi="Calibri"/>
          <w:sz w:val="17"/>
          <w:szCs w:val="17"/>
        </w:rPr>
        <w:t xml:space="preserve">Tail Thickener Field Operator Procedure</w:t>
      </w:r>
    </w:p>
    <w:p>
      <w:pPr>
        <w:pStyle w:val="ListParagraph"/>
        <w:numPr>
          <w:ilvl w:val="0"/>
          <w:numId w:val="1"/>
        </w:numPr>
        <w:spacing w:after="60" w:line="245"/>
      </w:pPr>
      <w:r>
        <w:rPr>
          <w:rFonts w:ascii="Calibri" w:cs="Calibri" w:eastAsia="Calibri" w:hAnsi="Calibri"/>
          <w:sz w:val="17"/>
          <w:szCs w:val="17"/>
        </w:rPr>
        <w:t xml:space="preserve">4034-018A-VE-007 Rev 0 Roytec tails thickener functional specification and control philosophy (051-TH-006), received 11 Aug 2026</w:t>
      </w:r>
    </w:p>
    <w:p>
      <w:pPr>
        <w:pStyle w:val="ListParagraph"/>
        <w:numPr>
          <w:ilvl w:val="0"/>
          <w:numId w:val="1"/>
        </w:numPr>
        <w:spacing w:after="60" w:line="245"/>
      </w:pPr>
      <w:r>
        <w:rPr>
          <w:rFonts w:ascii="Calibri" w:cs="Calibri" w:eastAsia="Calibri" w:hAnsi="Calibri"/>
          <w:sz w:val="17"/>
          <w:szCs w:val="17"/>
        </w:rPr>
        <w:t xml:space="preserve">4034-018A-VE-045 Rev A Roytec 25 m tailings thickener IOM, received 11 Aug 2026</w:t>
      </w:r>
    </w:p>
    <w:p>
      <w:pPr>
        <w:pStyle w:val="ListParagraph"/>
        <w:numPr>
          <w:ilvl w:val="0"/>
          <w:numId w:val="1"/>
        </w:numPr>
        <w:spacing w:after="60" w:line="245"/>
      </w:pPr>
      <w:r>
        <w:rPr>
          <w:rFonts w:ascii="Calibri" w:cs="Calibri" w:eastAsia="Calibri" w:hAnsi="Calibri"/>
          <w:sz w:val="17"/>
          <w:szCs w:val="17"/>
        </w:rPr>
        <w:t xml:space="preserve">4034-019B-VE-007 Rev A Roytec Model 05 continuous flocculant plant control philosophy, received 11 Aug 2026</w:t>
      </w:r>
    </w:p>
    <w:p>
      <w:pPr>
        <w:pStyle w:val="ListParagraph"/>
        <w:numPr>
          <w:ilvl w:val="0"/>
          <w:numId w:val="1"/>
        </w:numPr>
        <w:spacing w:after="60" w:line="245"/>
      </w:pPr>
      <w:r>
        <w:rPr>
          <w:rFonts w:ascii="Calibri" w:cs="Calibri" w:eastAsia="Calibri" w:hAnsi="Calibri"/>
          <w:sz w:val="17"/>
          <w:szCs w:val="17"/>
        </w:rPr>
        <w:t xml:space="preserve">HM-PRC-V01-PRO008 Tails Thickener and Tailings Disposal</w:t>
      </w:r>
    </w:p>
    <w:p>
      <w:pPr>
        <w:pStyle w:val="ListParagraph"/>
        <w:numPr>
          <w:ilvl w:val="0"/>
          <w:numId w:val="1"/>
        </w:numPr>
        <w:spacing w:after="60" w:line="245"/>
      </w:pPr>
      <w:r>
        <w:rPr>
          <w:rFonts w:ascii="Calibri" w:cs="Calibri" w:eastAsia="Calibri" w:hAnsi="Calibri"/>
          <w:sz w:val="17"/>
          <w:szCs w:val="17"/>
        </w:rPr>
        <w:t xml:space="preserve">Martabe work instruction 'Tailing Flocculant Solution Sampling' DOC-3-MET-PRS-WIN-00064-IE v1.0 (issued 25/12/2024; reference SOP DOC-2-MET-PRM-SOP-00037-IE) - Part B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SWI-PRO-MET-201-017  ·  Tails Thickener Feed, Overflow and Underflow Sampling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