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Screen and Cyclone Performance Survey - Size Split Determination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SWI-PRO-MET-203-003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JSEA-PRO-MET-203-003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203  Plant Surveys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HM-PRC-VXX-PRO207  Plant Surveys and Circuit Performance Assessment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 'Cyclone Overflow Underflow Sampling' (DOC-3-MET-PRS-00049-IE, v1.0, issued 25/12/2024) added as Section 6 Part B. It was written for the Martabe ball mill and VertiMill cyclones. Not approved until reviewed. JSEA JSEA-PRO-MET-203-003 must be updated for the added hazard row.</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the actual size split across each screen and cyclone against what the design assumes.</w:t>
      </w:r>
    </w:p>
    <w:p>
      <w:pPr>
        <w:spacing w:after="60" w:before="0" w:line="245"/>
      </w:pPr>
      <w:r>
        <w:rPr>
          <w:rFonts w:ascii="Calibri" w:cs="Calibri" w:eastAsia="Calibri" w:hAnsi="Calibri"/>
          <w:sz w:val="17"/>
          <w:szCs w:val="17"/>
        </w:rPr>
        <w:t xml:space="preserve">A screen or cyclone not doing what the flowsheet says it does moves the problem downstream, usually into the mill or the adsorption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021-SC-001</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Trash screen</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032-SC-002/003</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Loaded carbon and carbon safety screens</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041 / 051</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Adsorption interstage and recovery screens</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Cyclones</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Overflow and underflow</w:t>
            </w:r>
          </w:p>
        </w:tc>
      </w:tr>
    </w:tbl>
    <w:p>
      <w:pPr>
        <w:spacing w:after="60" w:before="0" w:line="245"/>
      </w:pPr>
    </w:p>
    <w:p>
      <w:pPr>
        <w:spacing w:after="60" w:before="0" w:line="245"/>
      </w:pPr>
      <w:r>
        <w:rPr>
          <w:rFonts w:ascii="Calibri" w:cs="Calibri" w:eastAsia="Calibri" w:hAnsi="Calibri"/>
          <w:sz w:val="17"/>
          <w:szCs w:val="17"/>
        </w:rPr>
        <w:t xml:space="preserve">Frequency: Quarterly, and after any panel change or aperture change.</w:t>
      </w:r>
    </w:p>
    <w:p>
      <w:pPr>
        <w:spacing w:after="60" w:before="0" w:line="245"/>
      </w:pPr>
      <w:r>
        <w:rPr>
          <w:rFonts w:ascii="Calibri" w:cs="Calibri" w:eastAsia="Calibri" w:hAnsi="Calibri"/>
          <w:sz w:val="17"/>
          <w:szCs w:val="17"/>
        </w:rPr>
        <w:t xml:space="preserve">This instruction sits under Standard Work Procedure HM-PRC-VXX-PRO207 - Plant Surveys and Circuit Performance Assessment. Read that procedure before carrying out this task for the first time.</w:t>
      </w:r>
    </w:p>
    <w:p>
      <w:pPr>
        <w:spacing w:after="60" w:before="0" w:line="245"/>
      </w:pPr>
      <w:r>
        <w:rPr>
          <w:rFonts w:ascii="Calibri" w:cs="Calibri" w:eastAsia="Calibri" w:hAnsi="Calibri"/>
          <w:sz w:val="17"/>
          <w:szCs w:val="17"/>
        </w:rPr>
        <w:t xml:space="preserve">Register line: SWI-PRO-MET-203-003 in HM-MMM-WHS-REG-XXX-R00-SWI-SWMS, tab SWI-MET. The matching hazard analysis is JSEA-PRO-MET-203-003.</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JSEA-PRO-MET-203-003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Hearing damage in the mill, screen, compressor and blower areas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Hearing protection mandatory in signed areas. Double protection at the mill and compressor. Time at the point kept to what the task needs.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or contact with solid reagent - cyanide briquettes, lime or salt</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Sampling of solid cyanide done only with the full cyanide PPE set including a gas mask with an A2B2E2K2P3 cartridge. Dust suppression and local extraction confirmed running. No dry sweeping.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Working at height above a cyclone, dust and slurry splash, pinch points and bending at the sampling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Body harness clipped to a rated anchor and working at height training current. Handrail opened and closed deliberately. Cloth gloves, mask, glasses, hard hat and safety boots; Tyvek coverall at the VertiMill. Eyewash proven flowing; wash splashes with running water. Manual handling training and ergonomic posture; use the correct sampler. Keep clear of pinch points.</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JSEA-PRO-MET-203-003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Hearing protection</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Notify the control room that the task is starting, and where you will be.</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work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area is fit - no restricted access, no gas alarm, no spill response in progress.</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Sieve set and Ro-Tap shaker</w:t>
      </w:r>
    </w:p>
    <w:p>
      <w:pPr>
        <w:pStyle w:val="ListParagraph"/>
        <w:numPr>
          <w:ilvl w:val="0"/>
          <w:numId w:val="1"/>
        </w:numPr>
        <w:spacing w:after="60" w:line="245"/>
      </w:pPr>
      <w:r>
        <w:rPr>
          <w:rFonts w:ascii="Calibri" w:cs="Calibri" w:eastAsia="Calibri" w:hAnsi="Calibri"/>
          <w:sz w:val="17"/>
          <w:szCs w:val="17"/>
        </w:rPr>
        <w:t xml:space="preserve">Filter press and filter paper</w:t>
      </w:r>
    </w:p>
    <w:p>
      <w:pPr>
        <w:pStyle w:val="ListParagraph"/>
        <w:numPr>
          <w:ilvl w:val="0"/>
          <w:numId w:val="1"/>
        </w:numPr>
        <w:spacing w:after="60" w:line="245"/>
      </w:pPr>
      <w:r>
        <w:rPr>
          <w:rFonts w:ascii="Calibri" w:cs="Calibri" w:eastAsia="Calibri" w:hAnsi="Calibri"/>
          <w:sz w:val="17"/>
          <w:szCs w:val="17"/>
        </w:rPr>
        <w:t xml:space="preserve">Drying oven</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Sample containers by stream</w:t>
      </w:r>
    </w:p>
    <w:p>
      <w:pPr>
        <w:pStyle w:val="ListParagraph"/>
        <w:numPr>
          <w:ilvl w:val="0"/>
          <w:numId w:val="1"/>
        </w:numPr>
        <w:spacing w:after="60" w:line="245"/>
      </w:pPr>
      <w:r>
        <w:rPr>
          <w:rFonts w:ascii="Calibri" w:cs="Calibri" w:eastAsia="Calibri" w:hAnsi="Calibri"/>
          <w:sz w:val="17"/>
          <w:szCs w:val="17"/>
        </w:rPr>
        <w:t xml:space="preserve">Field data sheets</w:t>
      </w:r>
    </w:p>
    <w:p>
      <w:pPr>
        <w:pStyle w:val="ListParagraph"/>
        <w:numPr>
          <w:ilvl w:val="0"/>
          <w:numId w:val="1"/>
        </w:numPr>
        <w:spacing w:after="60" w:line="245"/>
      </w:pPr>
      <w:r>
        <w:rPr>
          <w:rFonts w:ascii="Calibri" w:cs="Calibri" w:eastAsia="Calibri" w:hAnsi="Calibri"/>
          <w:sz w:val="17"/>
          <w:szCs w:val="17"/>
        </w:rPr>
        <w:t xml:space="preserve">[M] Manual sampler for the cyclone sampling points, buckets and rope, body harness, Tyvek coverall (VertiMill)</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Screen and cyclone size split survey</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Sample feed, oversize and undersize on the screen, or feed, overflow and underflow on the cyclone, at the same time.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Take increments across the full width or the full discharge, not one grab from the near end.</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Filter, dry and weigh each stream.</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Screen each to the full sieve set and record the mass retained on each aperture.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Calculate the partition curve and the actual cut size.</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Compare the cut size against the stated aperture for the screen, and against the design cut for the cyclone.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any screen where the cut size and the aperture do not agree - it usually means a torn or wrong panel.</w:t>
      </w:r>
    </w:p>
    <w:p>
      <w:pPr>
        <w:spacing w:after="90" w:before="180" w:line="245"/>
        <w:keepNext/>
      </w:pPr>
      <w:r>
        <w:rPr>
          <w:rFonts w:ascii="Calibri" w:cs="Calibri" w:eastAsia="Calibri" w:hAnsi="Calibri"/>
          <w:b/>
          <w:bCs/>
          <w:color w:val="1F3864"/>
          <w:sz w:val="19"/>
          <w:szCs w:val="19"/>
        </w:rPr>
        <w:t xml:space="preserve">Part B - Manual cyclone overflow and underflow sampling at height [M]</w:t>
      </w:r>
    </w:p>
    <w:p>
      <w:pPr>
        <w:spacing w:after="60" w:before="0" w:line="245"/>
      </w:pPr>
      <w:r>
        <w:rPr>
          <w:rFonts w:ascii="Calibri" w:cs="Calibri" w:eastAsia="Calibri" w:hAnsi="Calibri"/>
          <w:sz w:val="17"/>
          <w:szCs w:val="17"/>
        </w:rPr>
        <w:t xml:space="preserve">[M] = taken from the Martabe team work instruction "Cyclone Overflow Underflow Sampling (DOC-3-MET-PRS-00049-IE)" (25/12/2024).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how to take the cyclone overflow and underflow samples by hand. [CONFIRM] the source is written for the Martabe ball mill cyclone and VertiMill cyclone. This plant mills with an IsaMill; confirm which cyclones this applies to and where their sampling points are.</w:t>
      </w:r>
    </w:p>
    <w:p>
      <w:pPr>
        <w:spacing w:after="60" w:before="0" w:line="245"/>
      </w:pPr>
      <w:r>
        <w:rPr>
          <w:rFonts w:ascii="Calibri" w:cs="Calibri" w:eastAsia="Calibri" w:hAnsi="Calibri"/>
          <w:b/>
          <w:sz w:val="17"/>
          <w:szCs w:val="17"/>
        </w:rPr>
        <w:t xml:space="preserve">Preparation [M]</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Take 5 minutes before starting to think through the task, each risk and the controls needed ('Take 5'). Confirm Section 3 controls are in place, prepare the sampler, bucket and rope, and check they are in good condition. If not, stop and report. Confirm the eyewash at the work area is working.</w:t>
      </w:r>
    </w:p>
    <w:p>
      <w:pPr>
        <w:spacing w:after="60" w:before="0" w:line="245"/>
      </w:pPr>
      <w:r>
        <w:rPr>
          <w:rFonts w:ascii="Calibri" w:cs="Calibri" w:eastAsia="Calibri" w:hAnsi="Calibri"/>
          <w:b/>
          <w:sz w:val="17"/>
          <w:szCs w:val="17"/>
        </w:rPr>
        <w:t xml:space="preserve">Ball mill cyclone overflow [M]</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The sampling point is at the top of the cyclone. Open the handrail next to the cyclone overflow.</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Take a good, ergonomic position above the cyclone. Clip the body harness to the cyclone overflow line. [CONFIRM] the source says 'cyclone overflow line'; confirm this is a rated anchor point.</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Put the sampler into the sampling point and fill it with slurry. Pull the sampler out slowly. Repeat if slurry spills from the sampler.</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Pour the sample into the bucket. Make sure no sample is left in the sampler.</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Take 5 cuts. If the sample is for per cent solids on the Marcy scale, take it in a single pour.</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Close the handrail carefully.</w:t>
      </w:r>
    </w:p>
    <w:p>
      <w:pPr>
        <w:spacing w:after="60" w:before="0" w:line="245"/>
      </w:pPr>
      <w:r>
        <w:rPr>
          <w:rFonts w:ascii="Calibri" w:cs="Calibri" w:eastAsia="Calibri" w:hAnsi="Calibri"/>
          <w:b/>
          <w:sz w:val="17"/>
          <w:szCs w:val="17"/>
        </w:rPr>
        <w:t xml:space="preserve">Ball mill cyclone underflow [M]</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Put the sampler into the sampling point and fill it with slurry. Pull it out slowly. Repeat if slurry spills.</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Pour the sample into the bucket, leaving nothing in the sampler. If the sample is for per cent solids on the Marcy scale, take it in a single pour.</w:t>
      </w:r>
    </w:p>
    <w:p>
      <w:pPr>
        <w:spacing w:after="60" w:before="0" w:line="245"/>
      </w:pPr>
      <w:r>
        <w:rPr>
          <w:rFonts w:ascii="Calibri" w:cs="Calibri" w:eastAsia="Calibri" w:hAnsi="Calibri"/>
          <w:b/>
          <w:sz w:val="17"/>
          <w:szCs w:val="17"/>
        </w:rPr>
        <w:t xml:space="preserve">VertiMill cyclone [M]</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Wear a Tyvek coverall. The overflow sampling point is at the top of the VertiMill cyclone. Take an ergonomic position above the cyclone, then sample as for the ball mill overflow.</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Underflow: change the sampling mode to 'open'. Use the step platform to reach the point. Sample as above. Return the switch to 'close' when finished. [CONFIRM] what the open/close switch operates is not stated; confirm with the control room before changing it.</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Leave the area clean. Recover spillage to the drain, not to the ground.</w:t>
      </w:r>
    </w:p>
    <w:p>
      <w:pPr>
        <w:pStyle w:val="ListParagraph"/>
        <w:numPr>
          <w:ilvl w:val="0"/>
          <w:numId w:val="1"/>
        </w:numPr>
        <w:spacing w:after="60" w:line="245"/>
      </w:pPr>
      <w:r>
        <w:rPr>
          <w:rFonts w:ascii="Calibri" w:cs="Calibri" w:eastAsia="Calibri" w:hAnsi="Calibri"/>
          <w:sz w:val="17"/>
          <w:szCs w:val="17"/>
        </w:rPr>
        <w:t xml:space="preserve">Return all equipment to its storage point.</w:t>
      </w:r>
    </w:p>
    <w:p>
      <w:pPr>
        <w:pStyle w:val="ListParagraph"/>
        <w:numPr>
          <w:ilvl w:val="0"/>
          <w:numId w:val="1"/>
        </w:numPr>
        <w:spacing w:after="60" w:line="245"/>
      </w:pPr>
      <w:r>
        <w:rPr>
          <w:rFonts w:ascii="Calibri" w:cs="Calibri" w:eastAsia="Calibri" w:hAnsi="Calibri"/>
          <w:sz w:val="17"/>
          <w:szCs w:val="17"/>
        </w:rPr>
        <w:t xml:space="preserve">Record what was done, what was found and anything not completed.</w:t>
      </w:r>
    </w:p>
    <w:p>
      <w:pPr>
        <w:pStyle w:val="ListParagraph"/>
        <w:numPr>
          <w:ilvl w:val="0"/>
          <w:numId w:val="1"/>
        </w:numPr>
        <w:spacing w:after="60" w:line="245"/>
      </w:pPr>
      <w:r>
        <w:rPr>
          <w:rFonts w:ascii="Calibri" w:cs="Calibri" w:eastAsia="Calibri" w:hAnsi="Calibri"/>
          <w:sz w:val="17"/>
          <w:szCs w:val="17"/>
        </w:rPr>
        <w:t xml:space="preserve">Notify the control room that the task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KBK-MIR-MP-PRO-OPE-SOP-0008 Cyclone Efficiency</w:t>
      </w:r>
    </w:p>
    <w:p>
      <w:pPr>
        <w:pStyle w:val="ListParagraph"/>
        <w:numPr>
          <w:ilvl w:val="0"/>
          <w:numId w:val="1"/>
        </w:numPr>
        <w:spacing w:after="60" w:line="245"/>
      </w:pPr>
      <w:r>
        <w:rPr>
          <w:rFonts w:ascii="Calibri" w:cs="Calibri" w:eastAsia="Calibri" w:hAnsi="Calibri"/>
          <w:sz w:val="17"/>
          <w:szCs w:val="17"/>
        </w:rPr>
        <w:t xml:space="preserve">KBK-MIR-MP-PRO-MET-SOP-0029 Sizing Harian COF and SOP-0020 Distribusi Logam dan Ukuran, both received 11 Aug 2026</w:t>
      </w:r>
    </w:p>
    <w:p>
      <w:pPr>
        <w:pStyle w:val="ListParagraph"/>
        <w:numPr>
          <w:ilvl w:val="0"/>
          <w:numId w:val="1"/>
        </w:numPr>
        <w:spacing w:after="60" w:line="245"/>
      </w:pPr>
      <w:r>
        <w:rPr>
          <w:rFonts w:ascii="Calibri" w:cs="Calibri" w:eastAsia="Calibri" w:hAnsi="Calibri"/>
          <w:sz w:val="17"/>
          <w:szCs w:val="17"/>
        </w:rPr>
        <w:t xml:space="preserve">MM-4034-033 Screen Aperture Register</w:t>
      </w:r>
    </w:p>
    <w:p>
      <w:pPr>
        <w:pStyle w:val="ListParagraph"/>
        <w:numPr>
          <w:ilvl w:val="0"/>
          <w:numId w:val="1"/>
        </w:numPr>
        <w:spacing w:after="60" w:line="245"/>
      </w:pPr>
      <w:r>
        <w:rPr>
          <w:rFonts w:ascii="Calibri" w:cs="Calibri" w:eastAsia="Calibri" w:hAnsi="Calibri"/>
          <w:sz w:val="17"/>
          <w:szCs w:val="17"/>
        </w:rPr>
        <w:t xml:space="preserve">4034-004-VE-025 and 4034-011-VE-022 Goldquip screen manuals, received 11 Aug 2026</w:t>
      </w:r>
    </w:p>
    <w:p>
      <w:pPr>
        <w:pStyle w:val="ListParagraph"/>
        <w:numPr>
          <w:ilvl w:val="0"/>
          <w:numId w:val="1"/>
        </w:numPr>
        <w:spacing w:after="60" w:line="245"/>
      </w:pPr>
      <w:r>
        <w:rPr>
          <w:rFonts w:ascii="Calibri" w:cs="Calibri" w:eastAsia="Calibri" w:hAnsi="Calibri"/>
          <w:sz w:val="17"/>
          <w:szCs w:val="17"/>
        </w:rPr>
        <w:t xml:space="preserve">Martabe work instruction 'Cyclone Overflow Underflow Sampling' DOC-3-MET-PRS-00049-IE v1.0 (issued 25/12/2024; reference SOP DOC-IV-MET-PRM-SOP-00035-IE)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SWI-PRO-MET-203-003  ·  Screen and Cyclone Performance Survey - Size Split Determination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