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Adsorption Capacity and Kinetics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JSEA-PRO-MET-205-012</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tbl>
      <w:tblPr>
        <w:tblW w:type="dxa" w:w="9026"/>
        <w:tblBorders>
          <w:left w:val="single" w:color="9E2A2A" w:sz="18"/>
        </w:tblBorders>
        <w:tblCellMar>
          <w:top w:type="dxa" w:w="90"/>
          <w:left w:type="dxa" w:w="150"/>
          <w:bottom w:type="dxa" w:w="90"/>
          <w:right w:type="dxa" w:w="120"/>
        </w:tblCellMar>
      </w:tblPr>
      <w:tblGrid>
        <w:gridCol w:w="9026"/>
      </w:tblGrid>
      <w:tr>
        <w:tc>
          <w:tcPr>
            <w:tcW w:type="dxa" w:w="9026"/>
            <w:shd w:val="clear" w:color="auto" w:fill="FDECEC"/>
          </w:tcPr>
          <w:p>
            <w:pPr>
              <w:spacing w:after="0" w:before="0" w:line="245"/>
            </w:pPr>
            <w:r>
              <w:rPr>
                <w:rFonts w:ascii="Calibri" w:cs="Calibri" w:eastAsia="Calibri" w:hAnsi="Calibri"/>
                <w:b/>
                <w:bCs/>
                <w:color w:val="9E2A2A"/>
                <w:sz w:val="17"/>
                <w:szCs w:val="17"/>
              </w:rPr>
              <w:t xml:space="preserve">DRAFT FOR REVIEW - NOT FOR USE UNTIL APPROVED. The test method has been added from the Martabe work instruction 'Resin activity test' (03/03/2025). Acceptance targets for GG1200M and GG1200C still need vendor data - see the folder README. The source covers adsorption kinetics only; loading capacity is not covered by it.</w:t>
            </w:r>
          </w:p>
        </w:tc>
      </w:tr>
    </w:tbl>
    <w:p>
      <w:pPr>
        <w:spacing w:after="4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Measure the loading capacity and adsorption rate of the GG1200M and GG1200C resins.</w:t>
      </w:r>
    </w:p>
    <w:p>
      <w:pPr>
        <w:spacing w:after="60" w:before="0" w:line="245"/>
      </w:pPr>
      <w:r>
        <w:rPr>
          <w:rFonts w:ascii="Calibri" w:cs="Calibri" w:eastAsia="Calibri" w:hAnsi="Calibri"/>
          <w:sz w:val="17"/>
          <w:szCs w:val="17"/>
        </w:rPr>
        <w:t xml:space="preserve">Resin capacity is the design basis of the whole ReCYN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To be set once the vendor data arrives.</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SWI-PRO-MET-205-012 in HM-MMM-WHS-REG-XXX-R00-SWI-SWMS, tab SWI-MET. The matching hazard analysis is JSEA-PRO-MET-205-012.</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JSEA-PRO-MET-205-012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[JSEA to confirm] Weighing and dissolving solid sodium cyanide and caustic; copper-cyanide solution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Weigh and dissolve inside the fume cupboard with airflow confirmed. Caustic added and pH verified above 10.5 BEFORE any cyanide is added. Full cyanide PPE per Section 4. Not done alone. Copper-cyanide waste to the cyanide-bearing stream only.</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JSEA-PRO-MET-205-012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Bottle roller</w:t>
      </w:r>
    </w:p>
    <w:p>
      <w:pPr>
        <w:pStyle w:val="ListParagraph"/>
        <w:numPr>
          <w:ilvl w:val="0"/>
          <w:numId w:val="1"/>
        </w:numPr>
        <w:spacing w:after="60" w:line="245"/>
      </w:pPr>
      <w:r>
        <w:rPr>
          <w:rFonts w:ascii="Calibri" w:cs="Calibri" w:eastAsia="Calibri" w:hAnsi="Calibri"/>
          <w:sz w:val="17"/>
          <w:szCs w:val="17"/>
        </w:rPr>
        <w:t xml:space="preserve">Resin samples</w:t>
      </w:r>
    </w:p>
    <w:p>
      <w:pPr>
        <w:pStyle w:val="ListParagraph"/>
        <w:numPr>
          <w:ilvl w:val="0"/>
          <w:numId w:val="1"/>
        </w:numPr>
        <w:spacing w:after="60" w:line="245"/>
      </w:pPr>
      <w:r>
        <w:rPr>
          <w:rFonts w:ascii="Calibri" w:cs="Calibri" w:eastAsia="Calibri" w:hAnsi="Calibri"/>
          <w:sz w:val="17"/>
          <w:szCs w:val="17"/>
        </w:rPr>
        <w:t xml:space="preserve">Screens 0.9 mm</w:t>
      </w:r>
    </w:p>
    <w:p>
      <w:pPr>
        <w:pStyle w:val="ListParagraph"/>
        <w:numPr>
          <w:ilvl w:val="0"/>
          <w:numId w:val="1"/>
        </w:numPr>
        <w:spacing w:after="60" w:line="245"/>
      </w:pPr>
      <w:r>
        <w:rPr>
          <w:rFonts w:ascii="Calibri" w:cs="Calibri" w:eastAsia="Calibri" w:hAnsi="Calibri"/>
          <w:sz w:val="17"/>
          <w:szCs w:val="17"/>
        </w:rPr>
        <w:t xml:space="preserve">Solutions at known metal and cyanide concentration</w:t>
      </w:r>
    </w:p>
    <w:p>
      <w:pPr>
        <w:pStyle w:val="ListParagraph"/>
        <w:numPr>
          <w:ilvl w:val="0"/>
          <w:numId w:val="1"/>
        </w:numPr>
        <w:spacing w:after="60" w:line="245"/>
      </w:pPr>
      <w:r>
        <w:rPr>
          <w:rFonts w:ascii="Calibri" w:cs="Calibri" w:eastAsia="Calibri" w:hAnsi="Calibri"/>
          <w:sz w:val="17"/>
          <w:szCs w:val="17"/>
        </w:rPr>
        <w:t xml:space="preserve">[M] Agitator with blade, baffle tank (1 L working volume)</w:t>
      </w:r>
    </w:p>
    <w:p>
      <w:pPr>
        <w:pStyle w:val="ListParagraph"/>
        <w:numPr>
          <w:ilvl w:val="0"/>
          <w:numId w:val="1"/>
        </w:numPr>
        <w:spacing w:after="60" w:line="245"/>
      </w:pPr>
      <w:r>
        <w:rPr>
          <w:rFonts w:ascii="Calibri" w:cs="Calibri" w:eastAsia="Calibri" w:hAnsi="Calibri"/>
          <w:sz w:val="17"/>
          <w:szCs w:val="17"/>
        </w:rPr>
        <w:t xml:space="preserve">[M] Wet-sizing screens 1.18 mm and 1.4 mm [CONFIRM] against the 0.9 mm screen listed above</w:t>
      </w:r>
    </w:p>
    <w:p>
      <w:pPr>
        <w:pStyle w:val="ListParagraph"/>
        <w:numPr>
          <w:ilvl w:val="0"/>
          <w:numId w:val="1"/>
        </w:numPr>
        <w:spacing w:after="60" w:line="245"/>
      </w:pPr>
      <w:r>
        <w:rPr>
          <w:rFonts w:ascii="Calibri" w:cs="Calibri" w:eastAsia="Calibri" w:hAnsi="Calibri"/>
          <w:sz w:val="17"/>
          <w:szCs w:val="17"/>
        </w:rPr>
        <w:t xml:space="preserve">[M] Balance, 250 mL sample bottles, filter paper, funnel, tea strainer, syringe, stopwatch, pH meter</w:t>
      </w:r>
    </w:p>
    <w:p>
      <w:pPr>
        <w:pStyle w:val="ListParagraph"/>
        <w:numPr>
          <w:ilvl w:val="0"/>
          <w:numId w:val="1"/>
        </w:numPr>
        <w:spacing w:after="60" w:line="245"/>
      </w:pPr>
      <w:r>
        <w:rPr>
          <w:rFonts w:ascii="Calibri" w:cs="Calibri" w:eastAsia="Calibri" w:hAnsi="Calibri"/>
          <w:sz w:val="17"/>
          <w:szCs w:val="17"/>
        </w:rPr>
        <w:t xml:space="preserve">[M] NaCN, CuSO4.5H2O, NaOH (caustic), distilled water, fresh resin, loaded resin sample, Cu-eluted resin sample</w:t>
      </w:r>
    </w:p>
    <w:p>
      <w:pPr>
        <w:pStyle w:val="ListParagraph"/>
        <w:numPr>
          <w:ilvl w:val="0"/>
          <w:numId w:val="1"/>
        </w:numPr>
        <w:spacing w:after="60" w:line="245"/>
      </w:pPr>
      <w:r>
        <w:rPr>
          <w:rFonts w:ascii="Calibri" w:cs="Calibri" w:eastAsia="Calibri" w:hAnsi="Calibri"/>
          <w:sz w:val="17"/>
          <w:szCs w:val="17"/>
        </w:rPr>
        <w:t xml:space="preserve">[M] KCN (KCN variant only)</w:t>
      </w:r>
    </w:p>
    <w:p>
      <w:pPr>
        <w:pStyle w:val="Heading1"/>
        <w:spacing w:after="120" w:before="260"/>
      </w:pPr>
      <w:r>
        <w:rPr>
          <w:rFonts w:ascii="Calibri" w:cs="Calibri" w:eastAsia="Calibri" w:hAnsi="Calibri"/>
          <w:b/>
          <w:bCs/>
          <w:color w:val="1F3864"/>
          <w:sz w:val="24"/>
          <w:szCs w:val="24"/>
        </w:rPr>
        <w:t xml:space="preserve">6  STEPS</w:t>
      </w:r>
    </w:p>
    <w:p>
      <w:pPr>
        <w:spacing w:after="60" w:before="0" w:line="245"/>
      </w:pPr>
      <w:r>
        <w:rPr>
          <w:rFonts w:ascii="Calibri" w:cs="Calibri" w:eastAsia="Calibri" w:hAnsi="Calibri"/>
          <w:sz w:val="17"/>
          <w:szCs w:val="17"/>
        </w:rPr>
        <w:t xml:space="preserve">[M] = taken from the Martabe team work instruction "Resin activity test" (03/03/2025). [CONFIRM] = unspecified or inconsistent in the source; resolve before this instruction is approved for use.</w:t>
      </w:r>
    </w:p>
    <w:p>
      <w:pPr>
        <w:spacing w:after="60" w:before="0" w:line="245"/>
      </w:pPr>
      <w:r>
        <w:rPr>
          <w:rFonts w:ascii="Calibri" w:cs="Calibri" w:eastAsia="Calibri" w:hAnsi="Calibri"/>
          <w:sz w:val="17"/>
          <w:szCs w:val="17"/>
        </w:rPr>
        <w:t xml:space="preserve">Purpose [M]: compare the adsorption kinetics of each resin sample (loaded and Cu-eluted) against fresh resin.</w:t>
      </w:r>
    </w:p>
    <w:p>
      <w:pPr>
        <w:spacing w:after="60" w:before="0" w:line="245"/>
      </w:pPr>
      <w:r>
        <w:rPr>
          <w:rFonts w:ascii="Calibri" w:cs="Calibri" w:eastAsia="Calibri" w:hAnsi="Calibri"/>
          <w:b/>
          <w:sz w:val="17"/>
          <w:szCs w:val="17"/>
        </w:rPr>
        <w:t xml:space="preserve">Resin sizing [M]</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Pan the sample to separate carbon from resin.</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Stack the 1.18 mm and 1.4 mm screens.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Wet-size the sample.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Keep the resin that passes the 1.4 mm screen and is retained on the 1.18 mm screen. [CONFIRM] against the 0.9 mm screen in the equipment list.</w:t>
      </w:r>
    </w:p>
    <w:p>
      <w:pPr>
        <w:spacing w:after="60" w:before="0" w:line="245"/>
      </w:pPr>
      <w:r>
        <w:rPr>
          <w:rFonts w:ascii="Calibri" w:cs="Calibri" w:eastAsia="Calibri" w:hAnsi="Calibri"/>
          <w:b/>
          <w:sz w:val="17"/>
          <w:szCs w:val="17"/>
        </w:rPr>
        <w:t xml:space="preserve">Solution preparation [M]</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Check per cent solids. [CONFIRM] the sample this applies to is not stated in the source.</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Weigh 2 g NaCN.</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Measure 5 mL CuSO4.5H2O solution. [CONFIRM] solution strength is not stated.</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Put 5 L distilled water in the container and add the 5 mL copper sulphate.</w:t>
      </w:r>
    </w:p>
    <w:p>
      <w:pPr>
        <w:ind w:left="280"/>
        <w:spacing w:after="50" w:before="0" w:line="245"/>
      </w:pPr>
      <w:r>
        <w:rPr>
          <w:rFonts w:ascii="Calibri" w:cs="Calibri" w:eastAsia="Calibri" w:hAnsi="Calibri"/>
          <w:b/>
          <w:bCs/>
          <w:sz w:val="17"/>
          <w:szCs w:val="17"/>
        </w:rPr>
        <w:t xml:space="preserve">9.</w:t>
      </w:r>
      <w:r>
        <w:rPr>
          <w:rFonts w:ascii="Calibri" w:cs="Calibri" w:eastAsia="Calibri" w:hAnsi="Calibri"/>
          <w:sz w:val="17"/>
          <w:szCs w:val="17"/>
        </w:rPr>
        <w:t xml:space="preserve">  Hold the pH at 10 to 10.5 with caustic. [CONFIRM] this range reaches below 10.5; site rule in SWI-PRO-MET-205-007 is NEVER add cyanide below pH 10.5. Hold pH at 10.5 or above before the cyanide is added unless an approved deviation exists.</w:t>
      </w:r>
    </w:p>
    <w:p>
      <w:pPr>
        <w:ind w:left="280"/>
        <w:spacing w:after="50" w:before="0" w:line="245"/>
      </w:pPr>
      <w:r>
        <w:rPr>
          <w:rFonts w:ascii="Calibri" w:cs="Calibri" w:eastAsia="Calibri" w:hAnsi="Calibri"/>
          <w:b/>
          <w:bCs/>
          <w:sz w:val="17"/>
          <w:szCs w:val="17"/>
        </w:rPr>
        <w:t xml:space="preserve">10.</w:t>
      </w:r>
      <w:r>
        <w:rPr>
          <w:rFonts w:ascii="Calibri" w:cs="Calibri" w:eastAsia="Calibri" w:hAnsi="Calibri"/>
          <w:sz w:val="17"/>
          <w:szCs w:val="17"/>
        </w:rPr>
        <w:t xml:space="preserve">  Add the weighed NaCN and agitate until fully dissolved.</w:t>
      </w:r>
    </w:p>
    <w:p>
      <w:pPr>
        <w:ind w:left="280"/>
        <w:spacing w:after="50" w:before="0" w:line="245"/>
      </w:pPr>
      <w:r>
        <w:rPr>
          <w:rFonts w:ascii="Calibri" w:cs="Calibri" w:eastAsia="Calibri" w:hAnsi="Calibri"/>
          <w:b/>
          <w:bCs/>
          <w:sz w:val="17"/>
          <w:szCs w:val="17"/>
        </w:rPr>
        <w:t xml:space="preserve">11.</w:t>
      </w:r>
      <w:r>
        <w:rPr>
          <w:rFonts w:ascii="Calibri" w:cs="Calibri" w:eastAsia="Calibri" w:hAnsi="Calibri"/>
          <w:sz w:val="17"/>
          <w:szCs w:val="17"/>
        </w:rPr>
        <w:t xml:space="preserve">  Take a 20 mL head sample. Titrate for NaCN and submit to ITS for Cu assay.</w:t>
      </w:r>
    </w:p>
    <w:p>
      <w:pPr>
        <w:spacing w:after="60" w:before="0" w:line="245"/>
      </w:pPr>
      <w:r>
        <w:rPr>
          <w:rFonts w:ascii="Calibri" w:cs="Calibri" w:eastAsia="Calibri" w:hAnsi="Calibri"/>
          <w:b/>
          <w:sz w:val="17"/>
          <w:szCs w:val="17"/>
        </w:rPr>
        <w:t xml:space="preserve">Adsorption test [M]</w:t>
      </w:r>
    </w:p>
    <w:p>
      <w:pPr>
        <w:ind w:left="280"/>
        <w:spacing w:after="50" w:before="0" w:line="245"/>
      </w:pPr>
      <w:r>
        <w:rPr>
          <w:rFonts w:ascii="Calibri" w:cs="Calibri" w:eastAsia="Calibri" w:hAnsi="Calibri"/>
          <w:b/>
          <w:bCs/>
          <w:sz w:val="17"/>
          <w:szCs w:val="17"/>
        </w:rPr>
        <w:t xml:space="preserve">12.</w:t>
      </w:r>
      <w:r>
        <w:rPr>
          <w:rFonts w:ascii="Calibri" w:cs="Calibri" w:eastAsia="Calibri" w:hAnsi="Calibri"/>
          <w:sz w:val="17"/>
          <w:szCs w:val="17"/>
        </w:rPr>
        <w:t xml:space="preserve">  Put 1 L of the prepared solution in the baffle tank.</w:t>
      </w:r>
    </w:p>
    <w:p>
      <w:pPr>
        <w:ind w:left="280"/>
        <w:spacing w:after="50" w:before="0" w:line="245"/>
      </w:pPr>
      <w:r>
        <w:rPr>
          <w:rFonts w:ascii="Calibri" w:cs="Calibri" w:eastAsia="Calibri" w:hAnsi="Calibri"/>
          <w:b/>
          <w:bCs/>
          <w:sz w:val="17"/>
          <w:szCs w:val="17"/>
        </w:rPr>
        <w:t xml:space="preserve">13.</w:t>
      </w:r>
      <w:r>
        <w:rPr>
          <w:rFonts w:ascii="Calibri" w:cs="Calibri" w:eastAsia="Calibri" w:hAnsi="Calibri"/>
          <w:sz w:val="17"/>
          <w:szCs w:val="17"/>
        </w:rPr>
        <w:t xml:space="preserve">  Add 5 g of resin sample.</w:t>
      </w:r>
    </w:p>
    <w:p>
      <w:pPr>
        <w:ind w:left="280"/>
        <w:spacing w:after="50" w:before="0" w:line="245"/>
      </w:pPr>
      <w:r>
        <w:rPr>
          <w:rFonts w:ascii="Calibri" w:cs="Calibri" w:eastAsia="Calibri" w:hAnsi="Calibri"/>
          <w:b/>
          <w:bCs/>
          <w:sz w:val="17"/>
          <w:szCs w:val="17"/>
        </w:rPr>
        <w:t xml:space="preserve">14.</w:t>
      </w:r>
      <w:r>
        <w:rPr>
          <w:rFonts w:ascii="Calibri" w:cs="Calibri" w:eastAsia="Calibri" w:hAnsi="Calibri"/>
          <w:sz w:val="17"/>
          <w:szCs w:val="17"/>
        </w:rPr>
        <w:t xml:space="preserve">  At minute 5, 10, 15, 20 and 30 stop the agitator, take a solution sample of 30 mL, separate the resin from the solution and return the resin to the tank. [CONFIRM] the source text says 30 mL but the record table shows 20 mL per sample (1000 mL falling to 880 mL).</w:t>
      </w:r>
    </w:p>
    <w:p>
      <w:pPr>
        <w:ind w:left="280"/>
        <w:spacing w:after="50" w:before="0" w:line="245"/>
      </w:pPr>
      <w:r>
        <w:rPr>
          <w:rFonts w:ascii="Calibri" w:cs="Calibri" w:eastAsia="Calibri" w:hAnsi="Calibri"/>
          <w:b/>
          <w:bCs/>
          <w:sz w:val="17"/>
          <w:szCs w:val="17"/>
        </w:rPr>
        <w:t xml:space="preserve">15.</w:t>
      </w:r>
      <w:r>
        <w:rPr>
          <w:rFonts w:ascii="Calibri" w:cs="Calibri" w:eastAsia="Calibri" w:hAnsi="Calibri"/>
          <w:sz w:val="17"/>
          <w:szCs w:val="17"/>
        </w:rPr>
        <w:t xml:space="preserve">  Titrate each sample for cyanide.</w:t>
      </w:r>
    </w:p>
    <w:p>
      <w:pPr>
        <w:ind w:left="280"/>
        <w:spacing w:after="50" w:before="0" w:line="245"/>
      </w:pPr>
      <w:r>
        <w:rPr>
          <w:rFonts w:ascii="Calibri" w:cs="Calibri" w:eastAsia="Calibri" w:hAnsi="Calibri"/>
          <w:b/>
          <w:bCs/>
          <w:sz w:val="17"/>
          <w:szCs w:val="17"/>
        </w:rPr>
        <w:t xml:space="preserve">16.</w:t>
      </w:r>
      <w:r>
        <w:rPr>
          <w:rFonts w:ascii="Calibri" w:cs="Calibri" w:eastAsia="Calibri" w:hAnsi="Calibri"/>
          <w:sz w:val="17"/>
          <w:szCs w:val="17"/>
        </w:rPr>
        <w:t xml:space="preserve">  Send the remaining sample to ITS for Cu assay.</w:t>
      </w:r>
    </w:p>
    <w:p>
      <w:pPr>
        <w:ind w:left="280"/>
        <w:spacing w:after="50" w:before="0" w:line="245"/>
      </w:pPr>
      <w:r>
        <w:rPr>
          <w:rFonts w:ascii="Calibri" w:cs="Calibri" w:eastAsia="Calibri" w:hAnsi="Calibri"/>
          <w:b/>
          <w:bCs/>
          <w:sz w:val="17"/>
          <w:szCs w:val="17"/>
        </w:rPr>
        <w:t xml:space="preserve">17.</w:t>
      </w:r>
      <w:r>
        <w:rPr>
          <w:rFonts w:ascii="Calibri" w:cs="Calibri" w:eastAsia="Calibri" w:hAnsi="Calibri"/>
          <w:sz w:val="17"/>
          <w:szCs w:val="17"/>
        </w:rPr>
        <w:t xml:space="preserve">  Run fresh resin as the reference, then the loaded and Cu-eluted samples. Record on 'G:\Processing\5. Metallurgy\Metallurgy Lab\04 Metlab Data\Resin\5. Copper Loading Activity Test.xlsx' (columns: time, initial, sample and final volume, solution pH, NaCN mg/L).</w:t>
      </w:r>
    </w:p>
    <w:p>
      <w:pPr>
        <w:spacing w:after="60" w:before="0" w:line="245"/>
      </w:pPr>
      <w:r>
        <w:rPr>
          <w:rFonts w:ascii="Calibri" w:cs="Calibri" w:eastAsia="Calibri" w:hAnsi="Calibri"/>
          <w:sz w:val="17"/>
          <w:szCs w:val="17"/>
        </w:rPr>
        <w:t xml:space="preserve">KCN variant [M]: a later Martabe version, 'Resin activity test KCN' (dated '03/012/2025' - [CONFIRM] date), is identical except that it prepares 4 g KCN in place of 2 g NaCN. Its step text still says 'NaCN'. [CONFIRM] which reagent and mass is current: 4 g KCN is about 0.061 mol of cyanide against about 0.041 mol for 2 g NaCN (1.5 times), and 2.66 g KCN would be the molar equivalent. Do not run the KCN variant until this is settled.</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 SOP-PROC-CNREC-01 and -12, received 11 Aug 2026 - operating loading and conditioning practice</w:t>
      </w:r>
    </w:p>
    <w:p>
      <w:pPr>
        <w:pStyle w:val="ListParagraph"/>
        <w:numPr>
          <w:ilvl w:val="0"/>
          <w:numId w:val="1"/>
        </w:numPr>
        <w:spacing w:after="60" w:line="245"/>
      </w:pPr>
      <w:r>
        <w:rPr>
          <w:rFonts w:ascii="Calibri" w:cs="Calibri" w:eastAsia="Calibri" w:hAnsi="Calibri"/>
          <w:sz w:val="17"/>
          <w:szCs w:val="17"/>
        </w:rPr>
        <w:t xml:space="preserve">No Goldquip resin performance data held</w:t>
      </w:r>
    </w:p>
    <w:p>
      <w:pPr>
        <w:pStyle w:val="ListParagraph"/>
        <w:numPr>
          <w:ilvl w:val="0"/>
          <w:numId w:val="1"/>
        </w:numPr>
        <w:spacing w:after="60" w:line="245"/>
      </w:pPr>
      <w:r>
        <w:rPr>
          <w:rFonts w:ascii="Calibri" w:cs="Calibri" w:eastAsia="Calibri" w:hAnsi="Calibri"/>
          <w:sz w:val="17"/>
          <w:szCs w:val="17"/>
        </w:rPr>
        <w:t xml:space="preserve">Martabe work instruction 'Resin activity test' (Indonesian, 03/03/2025) and its KCN version (dated 03/012/2025) - method source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SWI-PRO-MET-205-012  ·  Resin Adsorption Capacity and Kinetics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