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Flocculant Screening and Dose Optimisation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SWI-PRO-MET-204-010</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JSEA-PRO-MET-204-010</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204  Met Lab -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HM-PRC-VXX-PRO208  Metallurgical Laboratory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instructions 'Settling Test with Variance %Strength Flocc' (22/03/2025) as Part B and 'Effective Treatment Dosage' (DOC-3-MET-PMC-WIN-00122-IE, issued 25/12/2024) as Part C added to Section 6. Not approved until reviewed. JSEA JSEA-PRO-MET-204-010 must be checked against the added steps.</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Compare flocculant types and doses to find the cheapest one that does the job.</w:t>
      </w:r>
    </w:p>
    <w:p>
      <w:pPr>
        <w:spacing w:after="60" w:before="0" w:line="245"/>
      </w:pPr>
      <w:r>
        <w:rPr>
          <w:rFonts w:ascii="Calibri" w:cs="Calibri" w:eastAsia="Calibri" w:hAnsi="Calibri"/>
          <w:sz w:val="17"/>
          <w:szCs w:val="17"/>
        </w:rPr>
        <w:t xml:space="preserve">Flocculant is a significant consumable and the wrong grade costs both money and thickener performance.</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On each new ore type and when a flocculant change is proposed.</w:t>
      </w:r>
    </w:p>
    <w:p>
      <w:pPr>
        <w:spacing w:after="60" w:before="0" w:line="245"/>
      </w:pPr>
      <w:r>
        <w:rPr>
          <w:rFonts w:ascii="Calibri" w:cs="Calibri" w:eastAsia="Calibri" w:hAnsi="Calibri"/>
          <w:sz w:val="17"/>
          <w:szCs w:val="17"/>
        </w:rPr>
        <w:t xml:space="preserve">This instruction sits under Standard Work Procedure HM-PRC-VXX-PRO208 - Metallurgical Laboratory Physical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SWI-PRO-MET-204-010 in HM-MMM-WHS-REG-XXX-R00-SWI-SWMS, tab SWI-MET. The matching hazard analysis is JSEA-PRO-MET-204-010.</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JSEA-PRO-MET-204-010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Solution splash and spill, and a pinch point on the level gauge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Latex gloves, glasses and safety boots. Eyewash proven flowing and spill kit at hand; wash splashes under running water; clean spills at once. Keep hands clear of the level gauge pinch point.</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JSEA-PRO-MET-204-010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Settling cylinders - NOT PURCHASED</w:t>
      </w:r>
    </w:p>
    <w:p>
      <w:pPr>
        <w:pStyle w:val="ListParagraph"/>
        <w:numPr>
          <w:ilvl w:val="0"/>
          <w:numId w:val="1"/>
        </w:numPr>
        <w:spacing w:after="60" w:line="245"/>
      </w:pPr>
      <w:r>
        <w:rPr>
          <w:rFonts w:ascii="Calibri" w:cs="Calibri" w:eastAsia="Calibri" w:hAnsi="Calibri"/>
          <w:sz w:val="17"/>
          <w:szCs w:val="17"/>
        </w:rPr>
        <w:t xml:space="preserve">Flocculant samples from candidate suppliers</w:t>
      </w:r>
    </w:p>
    <w:p>
      <w:pPr>
        <w:pStyle w:val="ListParagraph"/>
        <w:numPr>
          <w:ilvl w:val="0"/>
          <w:numId w:val="1"/>
        </w:numPr>
        <w:spacing w:after="60" w:line="245"/>
      </w:pPr>
      <w:r>
        <w:rPr>
          <w:rFonts w:ascii="Calibri" w:cs="Calibri" w:eastAsia="Calibri" w:hAnsi="Calibri"/>
          <w:sz w:val="17"/>
          <w:szCs w:val="17"/>
        </w:rPr>
        <w:t xml:space="preserve">Stopwatch</w:t>
      </w:r>
    </w:p>
    <w:p>
      <w:pPr>
        <w:pStyle w:val="ListParagraph"/>
        <w:numPr>
          <w:ilvl w:val="0"/>
          <w:numId w:val="1"/>
        </w:numPr>
        <w:spacing w:after="60" w:line="245"/>
      </w:pPr>
      <w:r>
        <w:rPr>
          <w:rFonts w:ascii="Calibri" w:cs="Calibri" w:eastAsia="Calibri" w:hAnsi="Calibri"/>
          <w:sz w:val="17"/>
          <w:szCs w:val="17"/>
        </w:rPr>
        <w:t xml:space="preserve">Pipettes</w:t>
      </w:r>
    </w:p>
    <w:p>
      <w:pPr>
        <w:pStyle w:val="ListParagraph"/>
        <w:numPr>
          <w:ilvl w:val="0"/>
          <w:numId w:val="1"/>
        </w:numPr>
        <w:spacing w:after="60" w:line="245"/>
      </w:pPr>
      <w:r>
        <w:rPr>
          <w:rFonts w:ascii="Calibri" w:cs="Calibri" w:eastAsia="Calibri" w:hAnsi="Calibri"/>
          <w:sz w:val="17"/>
          <w:szCs w:val="17"/>
        </w:rPr>
        <w:t xml:space="preserve">Plunger</w:t>
      </w:r>
    </w:p>
    <w:p>
      <w:pPr>
        <w:pStyle w:val="ListParagraph"/>
        <w:numPr>
          <w:ilvl w:val="0"/>
          <w:numId w:val="1"/>
        </w:numPr>
        <w:spacing w:after="60" w:line="245"/>
      </w:pPr>
      <w:r>
        <w:rPr>
          <w:rFonts w:ascii="Calibri" w:cs="Calibri" w:eastAsia="Calibri" w:hAnsi="Calibri"/>
          <w:sz w:val="17"/>
          <w:szCs w:val="17"/>
        </w:rPr>
        <w:t xml:space="preserve">[M] Balance, 1 L graduated cylinders (4 per test set), syringe, beakers, 250 mL sample bottles, vertical stirrer, filter press, drying oven</w:t>
      </w:r>
    </w:p>
    <w:p>
      <w:pPr>
        <w:pStyle w:val="ListParagraph"/>
        <w:numPr>
          <w:ilvl w:val="0"/>
          <w:numId w:val="1"/>
        </w:numPr>
        <w:spacing w:after="60" w:line="245"/>
      </w:pPr>
      <w:r>
        <w:rPr>
          <w:rFonts w:ascii="Calibri" w:cs="Calibri" w:eastAsia="Calibri" w:hAnsi="Calibri"/>
          <w:sz w:val="17"/>
          <w:szCs w:val="17"/>
        </w:rPr>
        <w:t xml:space="preserve">[M] Laboratory flocculant, process water, acetone; Martabe slurry characterisation spreadsheet (density to per cent solids)</w:t>
      </w:r>
    </w:p>
    <w:p>
      <w:pPr>
        <w:pStyle w:val="ListParagraph"/>
        <w:numPr>
          <w:ilvl w:val="0"/>
          <w:numId w:val="1"/>
        </w:numPr>
        <w:spacing w:after="60" w:line="245"/>
      </w:pPr>
      <w:r>
        <w:rPr>
          <w:rFonts w:ascii="Calibri" w:cs="Calibri" w:eastAsia="Calibri" w:hAnsi="Calibri"/>
          <w:sz w:val="17"/>
          <w:szCs w:val="17"/>
        </w:rPr>
        <w:t xml:space="preserve">[M] Beakers, measuring cylinders, level gauge, sieve, turbidity meter with cuvettes, syringe, cone, bucket, iron stirrer</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Flocculant type and dose comparison</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settling cylinders and a flocculant test rig are available before planning the test.</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Make up each candidate flocculant at the same strength and ageing time.</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Run the settling test at a fixed dose across all candidates first, to shortlist.</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Run the dose response on the shortlist.</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Record settling rate, overflow clarity and underflow density for each.</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Cost each option per tonne treated at its optimum dose.</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Report against the plant flocculant basis in the Roytec control philosophies.</w:t>
      </w:r>
    </w:p>
    <w:p>
      <w:pPr>
        <w:spacing w:after="90" w:before="180" w:line="245"/>
        <w:keepNext/>
      </w:pPr>
      <w:r>
        <w:rPr>
          <w:rFonts w:ascii="Calibri" w:cs="Calibri" w:eastAsia="Calibri" w:hAnsi="Calibri"/>
          <w:b/>
          <w:bCs/>
          <w:color w:val="1F3864"/>
          <w:sz w:val="19"/>
          <w:szCs w:val="19"/>
        </w:rPr>
        <w:t xml:space="preserve">Part B - Settling test with flocculant solution strength variance [M]</w:t>
      </w:r>
    </w:p>
    <w:p>
      <w:pPr>
        <w:spacing w:after="60" w:before="0" w:line="245"/>
      </w:pPr>
      <w:r>
        <w:rPr>
          <w:rFonts w:ascii="Calibri" w:cs="Calibri" w:eastAsia="Calibri" w:hAnsi="Calibri"/>
          <w:sz w:val="17"/>
          <w:szCs w:val="17"/>
        </w:rPr>
        <w:t xml:space="preserve">[M] = taken from the Martabe team work instruction "Settling Test with Variance %Strength Flocc" (22/03/2025). [CONFIRM] = unspecified or inconsistent in the source; resolve before this instruction is approved for use. Part A (original steps) is unchanged.</w:t>
      </w:r>
    </w:p>
    <w:p>
      <w:pPr>
        <w:spacing w:after="60" w:before="0" w:line="245"/>
      </w:pPr>
      <w:r>
        <w:rPr>
          <w:rFonts w:ascii="Calibri" w:cs="Calibri" w:eastAsia="Calibri" w:hAnsi="Calibri"/>
          <w:sz w:val="17"/>
          <w:szCs w:val="17"/>
        </w:rPr>
        <w:t xml:space="preserve">Purpose [M]: find the settling time at each flocculant solution strength. Part A holds the make-up strength constant; Part B varies it at 0.35, 0.40, 0.45 and 0.50 per cent. [CONFIRM] Section 5 lists settling cylinders as NOT PURCHASED; the source uses plain 1 L graduated cylinders - confirm these are acceptable.</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Make up flocculant solutions at 0.35, 0.40, 0.45 and 0.50 per cent with process water (Martabe SOP for flocculant make-up, not yet received).</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Stir the tailing sample until even with the vertical stirrer.</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Put 1 L of tailing slurry in a graduated cylinder and weigh it. Prepare 4 cylinders for one test set.</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Check the weight difference between cylinders is below 4 g. If it is above 4 g, stir again and repeat the previous step.</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Open the slurry characterisation spreadsheet. Enter ore density 2.6 t/m3. Enter the 1 L slurry weight as pulp density (RHOP): 1.5 kg per litre is entered as 1.5 (1.5 kg/L = 1.5 t/m3). Read off solids mass and per cent solids.</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Record the solution strength and the dose.</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Flocculant volume to add (mL) = 100 x solids mass (g) / 1,000,000 x 100 / 0.5. [CONFIRM] the source writes 100 and 0.5 as fixed numbers; read as dose in g/t (100) and solution strength in per cent (0.5), and replace them with the actual dose and strength for each cylinder.</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Add flocculant at doses of 70, 80, 90 and 100 g/t. [CONFIRM] how the 4 strengths and 4 doses are laid out across the 4 cylinders of a set is not stated.</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Mix the sample with the stirring rod 8 times.</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Record the solids level at minute 5, 10, 15, 30, 60 and at 24 hours and 48 hours. [CONFIRM] source reads '60, 24 jam, 48 jam'; minute 60 is assumed.</w:t>
      </w:r>
    </w:p>
    <w:p>
      <w:pPr>
        <w:ind w:left="280"/>
        <w:spacing w:after="50" w:before="0" w:line="245"/>
      </w:pPr>
      <w:r>
        <w:rPr>
          <w:rFonts w:ascii="Calibri" w:cs="Calibri" w:eastAsia="Calibri" w:hAnsi="Calibri"/>
          <w:b/>
          <w:bCs/>
          <w:sz w:val="17"/>
          <w:szCs w:val="17"/>
        </w:rPr>
        <w:t xml:space="preserve">18.</w:t>
      </w:r>
      <w:r>
        <w:rPr>
          <w:rFonts w:ascii="Calibri" w:cs="Calibri" w:eastAsia="Calibri" w:hAnsi="Calibri"/>
          <w:sz w:val="17"/>
          <w:szCs w:val="17"/>
        </w:rPr>
        <w:t xml:space="preserve">  Separate the solids from the water with the filter press.</w:t>
      </w:r>
    </w:p>
    <w:p>
      <w:pPr>
        <w:ind w:left="280"/>
        <w:spacing w:after="50" w:before="0" w:line="245"/>
      </w:pPr>
      <w:r>
        <w:rPr>
          <w:rFonts w:ascii="Calibri" w:cs="Calibri" w:eastAsia="Calibri" w:hAnsi="Calibri"/>
          <w:b/>
          <w:bCs/>
          <w:sz w:val="17"/>
          <w:szCs w:val="17"/>
        </w:rPr>
        <w:t xml:space="preserve">19.</w:t>
      </w:r>
      <w:r>
        <w:rPr>
          <w:rFonts w:ascii="Calibri" w:cs="Calibri" w:eastAsia="Calibri" w:hAnsi="Calibri"/>
          <w:sz w:val="17"/>
          <w:szCs w:val="17"/>
        </w:rPr>
        <w:t xml:space="preserve">  Dry the sample in the oven and weigh it dry to correct the dose to g/t.</w:t>
      </w:r>
    </w:p>
    <w:p>
      <w:pPr>
        <w:spacing w:after="90" w:before="180" w:line="245"/>
        <w:keepNext/>
      </w:pPr>
      <w:r>
        <w:rPr>
          <w:rFonts w:ascii="Calibri" w:cs="Calibri" w:eastAsia="Calibri" w:hAnsi="Calibri"/>
          <w:b/>
          <w:bCs/>
          <w:color w:val="1F3864"/>
          <w:sz w:val="19"/>
          <w:szCs w:val="19"/>
        </w:rPr>
        <w:t xml:space="preserve">Part C - Effective treatment dosage (ETD) test on tailings [M]</w:t>
      </w:r>
    </w:p>
    <w:p>
      <w:pPr>
        <w:spacing w:after="60" w:before="0" w:line="245"/>
      </w:pPr>
      <w:r>
        <w:rPr>
          <w:rFonts w:ascii="Calibri" w:cs="Calibri" w:eastAsia="Calibri" w:hAnsi="Calibri"/>
          <w:sz w:val="17"/>
          <w:szCs w:val="17"/>
        </w:rPr>
        <w:t xml:space="preserve">[M] = taken from the Martabe team work instruction "Effective Treatment Dosage (DOC-3-MET-PMC-WIN-00122-IE)" (25/12/2024). [CONFIRM] = unspecified or inconsistent in the source; resolve before this instruction is approved for use. Parts A and B are unchanged.</w:t>
      </w:r>
    </w:p>
    <w:p>
      <w:pPr>
        <w:spacing w:after="60" w:before="0" w:line="245"/>
      </w:pPr>
      <w:r>
        <w:rPr>
          <w:rFonts w:ascii="Calibri" w:cs="Calibri" w:eastAsia="Calibri" w:hAnsi="Calibri"/>
          <w:sz w:val="17"/>
          <w:szCs w:val="17"/>
        </w:rPr>
        <w:t xml:space="preserve">Purpose [M]: set up the 12 slurry samples for the ETD flocculant test and read the turbidity of the water from the sieve filtering. [CONFIRM] the flocculant test itself is in the Martabe 'WI Flocculant testwork on tailing using sieve', which has not been received; the 276 g basis and the use of 12 samples are not explained.</w:t>
      </w:r>
    </w:p>
    <w:p>
      <w:pPr>
        <w:ind w:left="280"/>
        <w:spacing w:after="50" w:before="0" w:line="245"/>
      </w:pPr>
      <w:r>
        <w:rPr>
          <w:rFonts w:ascii="Calibri" w:cs="Calibri" w:eastAsia="Calibri" w:hAnsi="Calibri"/>
          <w:b/>
          <w:bCs/>
          <w:sz w:val="17"/>
          <w:szCs w:val="17"/>
        </w:rPr>
        <w:t xml:space="preserve">20.</w:t>
      </w:r>
      <w:r>
        <w:rPr>
          <w:rFonts w:ascii="Calibri" w:cs="Calibri" w:eastAsia="Calibri" w:hAnsi="Calibri"/>
          <w:sz w:val="17"/>
          <w:szCs w:val="17"/>
        </w:rPr>
        <w:t xml:space="preserve">  Prepare the beakers, measuring cylinders, level gauge, sieve, turbidity meter, syringe, bucket, cone and cuvettes. Check they are in good condition [M]. Have the flocculant and the slurry sample ready.</w:t>
      </w:r>
    </w:p>
    <w:p>
      <w:pPr>
        <w:ind w:left="280"/>
        <w:spacing w:after="50" w:before="0" w:line="245"/>
      </w:pPr>
      <w:r>
        <w:rPr>
          <w:rFonts w:ascii="Calibri" w:cs="Calibri" w:eastAsia="Calibri" w:hAnsi="Calibri"/>
          <w:b/>
          <w:bCs/>
          <w:sz w:val="17"/>
          <w:szCs w:val="17"/>
        </w:rPr>
        <w:t xml:space="preserve">21.</w:t>
      </w:r>
      <w:r>
        <w:rPr>
          <w:rFonts w:ascii="Calibri" w:cs="Calibri" w:eastAsia="Calibri" w:hAnsi="Calibri"/>
          <w:sz w:val="17"/>
          <w:szCs w:val="17"/>
        </w:rPr>
        <w:t xml:space="preserve">  Stir the slurry in the bucket with the iron stirrer so no solids settle.</w:t>
      </w:r>
    </w:p>
    <w:p>
      <w:pPr>
        <w:ind w:left="280"/>
        <w:spacing w:after="50" w:before="0" w:line="245"/>
      </w:pPr>
      <w:r>
        <w:rPr>
          <w:rFonts w:ascii="Calibri" w:cs="Calibri" w:eastAsia="Calibri" w:hAnsi="Calibri"/>
          <w:b/>
          <w:bCs/>
          <w:sz w:val="17"/>
          <w:szCs w:val="17"/>
        </w:rPr>
        <w:t xml:space="preserve">22.</w:t>
      </w:r>
      <w:r>
        <w:rPr>
          <w:rFonts w:ascii="Calibri" w:cs="Calibri" w:eastAsia="Calibri" w:hAnsi="Calibri"/>
          <w:sz w:val="17"/>
          <w:szCs w:val="17"/>
        </w:rPr>
        <w:t xml:space="preserve">  While stirring, take slurry and weigh 276 g into a beaker. Repeat 12 times to get 12 samples.</w:t>
      </w:r>
    </w:p>
    <w:p>
      <w:pPr>
        <w:ind w:left="280"/>
        <w:spacing w:after="50" w:before="0" w:line="245"/>
      </w:pPr>
      <w:r>
        <w:rPr>
          <w:rFonts w:ascii="Calibri" w:cs="Calibri" w:eastAsia="Calibri" w:hAnsi="Calibri"/>
          <w:b/>
          <w:bCs/>
          <w:sz w:val="17"/>
          <w:szCs w:val="17"/>
        </w:rPr>
        <w:t xml:space="preserve">23.</w:t>
      </w:r>
      <w:r>
        <w:rPr>
          <w:rFonts w:ascii="Calibri" w:cs="Calibri" w:eastAsia="Calibri" w:hAnsi="Calibri"/>
          <w:sz w:val="17"/>
          <w:szCs w:val="17"/>
        </w:rPr>
        <w:t xml:space="preserve">  Carry out the flocculant test as the Martabe sieve flocculant instruction describes (not received).</w:t>
      </w:r>
    </w:p>
    <w:p>
      <w:pPr>
        <w:ind w:left="280"/>
        <w:spacing w:after="50" w:before="0" w:line="245"/>
      </w:pPr>
      <w:r>
        <w:rPr>
          <w:rFonts w:ascii="Calibri" w:cs="Calibri" w:eastAsia="Calibri" w:hAnsi="Calibri"/>
          <w:b/>
          <w:bCs/>
          <w:sz w:val="17"/>
          <w:szCs w:val="17"/>
        </w:rPr>
        <w:t xml:space="preserve">24.</w:t>
      </w:r>
      <w:r>
        <w:rPr>
          <w:rFonts w:ascii="Calibri" w:cs="Calibri" w:eastAsia="Calibri" w:hAnsi="Calibri"/>
          <w:sz w:val="17"/>
          <w:szCs w:val="17"/>
        </w:rPr>
        <w:t xml:space="preserve">  Check the turbidity of the water that came through the sieve: power on the turbidity meter, put the cuvette in the sample holder, press read, wait for the result and record it. Take the cuvette out.</w:t>
      </w:r>
    </w:p>
    <w:p>
      <w:pPr>
        <w:ind w:left="280"/>
        <w:spacing w:after="50" w:before="0" w:line="245"/>
      </w:pPr>
      <w:r>
        <w:rPr>
          <w:rFonts w:ascii="Calibri" w:cs="Calibri" w:eastAsia="Calibri" w:hAnsi="Calibri"/>
          <w:b/>
          <w:bCs/>
          <w:sz w:val="17"/>
          <w:szCs w:val="17"/>
        </w:rPr>
        <w:t xml:space="preserve">25.</w:t>
      </w:r>
      <w:r>
        <w:rPr>
          <w:rFonts w:ascii="Calibri" w:cs="Calibri" w:eastAsia="Calibri" w:hAnsi="Calibri"/>
          <w:sz w:val="17"/>
          <w:szCs w:val="17"/>
        </w:rPr>
        <w:t xml:space="preserve">  Record the ETD data in 'G:\Processing\5. Metallurgy\Metallurgy Lab\04 Metlab Data\ETD &amp; Settling Test' or on form DOC-4-MET-PMC-DFR-00140-EN (Form ETD Data.xlsx).</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4034-019-VE-006 Roytec Model 01 and 4034-019B-VE-007 Model 05 flocculant plant control philosophies, received 11 Aug 2026 - the plant make-up concentration and dose basis</w:t>
      </w:r>
    </w:p>
    <w:p>
      <w:pPr>
        <w:pStyle w:val="ListParagraph"/>
        <w:numPr>
          <w:ilvl w:val="0"/>
          <w:numId w:val="1"/>
        </w:numPr>
        <w:spacing w:after="60" w:line="245"/>
      </w:pPr>
      <w:r>
        <w:rPr>
          <w:rFonts w:ascii="Calibri" w:cs="Calibri" w:eastAsia="Calibri" w:hAnsi="Calibri"/>
          <w:sz w:val="17"/>
          <w:szCs w:val="17"/>
        </w:rPr>
        <w:t xml:space="preserve">Martabe work instruction 'Settling Test with Variance %Strength Flocc' (Indonesian, 22/03/2025) - Part B source</w:t>
      </w:r>
    </w:p>
    <w:p>
      <w:pPr>
        <w:pStyle w:val="ListParagraph"/>
        <w:numPr>
          <w:ilvl w:val="0"/>
          <w:numId w:val="1"/>
        </w:numPr>
        <w:spacing w:after="60" w:line="245"/>
      </w:pPr>
      <w:r>
        <w:rPr>
          <w:rFonts w:ascii="Calibri" w:cs="Calibri" w:eastAsia="Calibri" w:hAnsi="Calibri"/>
          <w:sz w:val="17"/>
          <w:szCs w:val="17"/>
        </w:rPr>
        <w:t xml:space="preserve">Martabe work instruction 'Effective Treatment Dosage' DOC-3-MET-PMC-WIN-00122-IE v1.0 (issued 25/12/2024; reference SOP DOC-IV-MET-CHH-SOP-00039) - Part C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SWI-PRO-MET-204-010  ·  Flocculant Screening and Dose Optimisation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