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Free Cyanide Titration - Silver Nitrate Method</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free cyanide by titration against standardised silver nitrate.</w:t>
      </w:r>
    </w:p>
    <w:p>
      <w:pPr>
        <w:spacing w:after="60" w:before="0" w:line="245"/>
      </w:pPr>
      <w:r>
        <w:rPr>
          <w:rFonts w:ascii="Calibri" w:cs="Calibri" w:eastAsia="Calibri" w:hAnsi="Calibri"/>
          <w:sz w:val="17"/>
          <w:szCs w:val="17"/>
        </w:rPr>
        <w:t xml:space="preserve">Free cyanide is the single most important solution number on this plant - it drives dosing, recovery and the environmental obligation.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shift on every cyanide-bearing stream on the schedule.</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SWI-PRO-MET-205-001 in HM-MMM-WHS-REG-XXX-R00-SWI-SWMS, tab SWI-MET. The matching hazard analysis is JSEA-PRO-MET-205-001.</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JSEA-PRO-MET-205-001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JSEA-PRO-MET-205-001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Burette 50 mL and stand</w:t>
      </w:r>
    </w:p>
    <w:p>
      <w:pPr>
        <w:pStyle w:val="ListParagraph"/>
        <w:numPr>
          <w:ilvl w:val="0"/>
          <w:numId w:val="1"/>
        </w:numPr>
        <w:spacing w:after="60" w:line="245"/>
      </w:pPr>
      <w:r>
        <w:rPr>
          <w:rFonts w:ascii="Calibri" w:cs="Calibri" w:eastAsia="Calibri" w:hAnsi="Calibri"/>
          <w:sz w:val="17"/>
          <w:szCs w:val="17"/>
        </w:rPr>
        <w:t xml:space="preserve">Pipette 10 or 25 mL</w:t>
      </w:r>
    </w:p>
    <w:p>
      <w:pPr>
        <w:pStyle w:val="ListParagraph"/>
        <w:numPr>
          <w:ilvl w:val="0"/>
          <w:numId w:val="1"/>
        </w:numPr>
        <w:spacing w:after="60" w:line="245"/>
      </w:pPr>
      <w:r>
        <w:rPr>
          <w:rFonts w:ascii="Calibri" w:cs="Calibri" w:eastAsia="Calibri" w:hAnsi="Calibri"/>
          <w:sz w:val="17"/>
          <w:szCs w:val="17"/>
        </w:rPr>
        <w:t xml:space="preserve">Conical flasks 250 mL</w:t>
      </w:r>
    </w:p>
    <w:p>
      <w:pPr>
        <w:pStyle w:val="ListParagraph"/>
        <w:numPr>
          <w:ilvl w:val="0"/>
          <w:numId w:val="1"/>
        </w:numPr>
        <w:spacing w:after="60" w:line="245"/>
      </w:pPr>
      <w:r>
        <w:rPr>
          <w:rFonts w:ascii="Calibri" w:cs="Calibri" w:eastAsia="Calibri" w:hAnsi="Calibri"/>
          <w:sz w:val="17"/>
          <w:szCs w:val="17"/>
        </w:rPr>
        <w:t xml:space="preserve">Standardised AgNO3 0.01 M</w:t>
      </w:r>
    </w:p>
    <w:p>
      <w:pPr>
        <w:pStyle w:val="ListParagraph"/>
        <w:numPr>
          <w:ilvl w:val="0"/>
          <w:numId w:val="1"/>
        </w:numPr>
        <w:spacing w:after="60" w:line="245"/>
      </w:pPr>
      <w:r>
        <w:rPr>
          <w:rFonts w:ascii="Calibri" w:cs="Calibri" w:eastAsia="Calibri" w:hAnsi="Calibri"/>
          <w:sz w:val="17"/>
          <w:szCs w:val="17"/>
        </w:rPr>
        <w:t xml:space="preserve">Rhodanine indicator</w:t>
      </w:r>
    </w:p>
    <w:p>
      <w:pPr>
        <w:pStyle w:val="ListParagraph"/>
        <w:numPr>
          <w:ilvl w:val="0"/>
          <w:numId w:val="1"/>
        </w:numPr>
        <w:spacing w:after="60" w:line="245"/>
      </w:pPr>
      <w:r>
        <w:rPr>
          <w:rFonts w:ascii="Calibri" w:cs="Calibri" w:eastAsia="Calibri" w:hAnsi="Calibri"/>
          <w:sz w:val="17"/>
          <w:szCs w:val="17"/>
        </w:rPr>
        <w:t xml:space="preserve">Wash bottle and distilled water</w:t>
      </w:r>
    </w:p>
    <w:p>
      <w:pPr>
        <w:pStyle w:val="ListParagraph"/>
        <w:numPr>
          <w:ilvl w:val="0"/>
          <w:numId w:val="1"/>
        </w:numPr>
        <w:spacing w:after="60" w:line="245"/>
      </w:pPr>
      <w:r>
        <w:rPr>
          <w:rFonts w:ascii="Calibri" w:cs="Calibri" w:eastAsia="Calibri" w:hAnsi="Calibri"/>
          <w:sz w:val="17"/>
          <w:szCs w:val="17"/>
        </w:rPr>
        <w:t xml:space="preserve">Fume cupboard</w:t>
      </w:r>
    </w:p>
    <w:p>
      <w:pPr>
        <w:pStyle w:val="ListParagraph"/>
        <w:numPr>
          <w:ilvl w:val="0"/>
          <w:numId w:val="1"/>
        </w:numPr>
        <w:spacing w:after="60" w:line="245"/>
      </w:pPr>
      <w:r>
        <w:rPr>
          <w:rFonts w:ascii="Calibri" w:cs="Calibri" w:eastAsia="Calibri" w:hAnsi="Calibri"/>
          <w:sz w:val="17"/>
          <w:szCs w:val="17"/>
        </w:rPr>
        <w:t xml:space="preserve">[M] Digital burette and syringe for the aliquot (Martabe method; optional)</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Work in the fume cupboard with the airflow confirmed. Cyanide solutions release HCN, faster if the pH has dropped.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Filter the sample if it is not already clear, and titrate as soon after filtration as possible to limit volatilisation loss.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Rinse the burette with distilled water then condition it three times with standardised AgNO3.</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Fill the burette and expel air from the tip.</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Pipette the aliquot into a conical flask.</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Add 3 to 5 drops of rhodanine indicator - the solution turns pale yellow.</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Add AgNO3 dropwise with continuous swirling. As the endpoint nears a salmon pink precipitate forms and redissolves slowly; slow the addition there.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Continue dropwise until a permanent salmon pink holds for 30 seconds without swirling.</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Record the burette reading and calculate free cyanide.</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Run a duplicate on every tenth sample and a standard once per shift.</w:t>
      </w:r>
    </w:p>
    <w:p>
      <w:pPr>
        <w:spacing w:after="90" w:before="180" w:line="245"/>
        <w:keepNext/>
      </w:pPr>
      <w:r>
        <w:rPr>
          <w:rFonts w:ascii="Calibri" w:cs="Calibri" w:eastAsia="Calibri" w:hAnsi="Calibri"/>
          <w:b/>
          <w:bCs/>
          <w:color w:val="1F3864"/>
          <w:sz w:val="19"/>
          <w:szCs w:val="19"/>
        </w:rPr>
        <w:t xml:space="preserve">Martabe digital-burette method: comparison [M]</w:t>
      </w:r>
    </w:p>
    <w:p>
      <w:pPr>
        <w:spacing w:after="60" w:before="0" w:line="245"/>
      </w:pPr>
      <w:r>
        <w:rPr>
          <w:rFonts w:ascii="Calibri" w:cs="Calibri" w:eastAsia="Calibri" w:hAnsi="Calibri"/>
          <w:sz w:val="17"/>
          <w:szCs w:val="17"/>
        </w:rPr>
        <w:t xml:space="preserve">[M] = taken from the Martabe team work instruction "Cyanide Measurement by AgNO3 Titration (DOC-3-MET-PMC-WIN-00115-IE)" (25/12/2024). [CONFIRM] = unspecified or inconsistent in the source; resolve before this instruction is approved for use. The steps above are unchanged.</w:t>
      </w:r>
    </w:p>
    <w:p>
      <w:pPr>
        <w:spacing w:after="60" w:before="0" w:line="245"/>
      </w:pPr>
      <w:r>
        <w:rPr>
          <w:rFonts w:ascii="Calibri" w:cs="Calibri" w:eastAsia="Calibri" w:hAnsi="Calibri"/>
          <w:sz w:val="17"/>
          <w:szCs w:val="17"/>
        </w:rPr>
        <w:t xml:space="preserve">The Martabe method takes the sample with a syringe into a beaker (usually 10 mL), adds 3 drops of rhodanine, checks the digital burette display reads 0.00, opens the burette tap and titrates with AgNO3 while stirring until the sample turns pink. It also requires the AgNO3 and the sample reagents to be in date, with the Martabe reagent lifetime system (DOC-IV-MET-CHH-SOP-00039, not received).</w:t>
      </w:r>
    </w:p>
    <w:p>
      <w:pPr>
        <w:spacing w:after="60" w:before="0" w:line="245"/>
      </w:pPr>
      <w:r>
        <w:rPr>
          <w:rFonts w:ascii="Calibri" w:cs="Calibri" w:eastAsia="Calibri" w:hAnsi="Calibri"/>
          <w:sz w:val="17"/>
          <w:szCs w:val="17"/>
        </w:rPr>
        <w:t xml:space="preserve">This SWI is more complete and is kept as written: it adds working in the fume cupboard, filtering, conditioning the burette, the salmon pink end-point held for 30 seconds, and duplicate and standard checks. Two points are taken from the Martabe method: if a digital burette is used, check it reads 0.00 before starting, and check the AgNO3 expiry date. [CONFIRM] the Martabe end-point is 'pink'; use the salmon pink end-point above.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KBK-MIR-MP-PRO-OPE-SOP-0010 Titrasi Sianida</w:t>
      </w:r>
    </w:p>
    <w:p>
      <w:pPr>
        <w:pStyle w:val="ListParagraph"/>
        <w:numPr>
          <w:ilvl w:val="0"/>
          <w:numId w:val="1"/>
        </w:numPr>
        <w:spacing w:after="60" w:line="245"/>
      </w:pPr>
      <w:r>
        <w:rPr>
          <w:rFonts w:ascii="Calibri" w:cs="Calibri" w:eastAsia="Calibri" w:hAnsi="Calibri"/>
          <w:sz w:val="17"/>
          <w:szCs w:val="17"/>
        </w:rPr>
        <w:t xml:space="preserve">KBK-MIR-MP-PRO-MET-SOP-0037 Titrasi Sianida dengan Perak Nitrat and SOP-0043 AgNO3 0.01 M standard, both received 11 Aug 2026</w:t>
      </w:r>
    </w:p>
    <w:p>
      <w:pPr>
        <w:pStyle w:val="ListParagraph"/>
        <w:numPr>
          <w:ilvl w:val="0"/>
          <w:numId w:val="1"/>
        </w:numPr>
        <w:spacing w:after="60" w:line="245"/>
      </w:pPr>
      <w:r>
        <w:rPr>
          <w:rFonts w:ascii="Calibri" w:cs="Calibri" w:eastAsia="Calibri" w:hAnsi="Calibri"/>
          <w:sz w:val="17"/>
          <w:szCs w:val="17"/>
        </w:rPr>
        <w:t xml:space="preserve">Martabe work instruction 'Cyanide Measurement by AgNO3 Titration' DOC-3-MET-PMC-WIN-00115-IE v1.0 (issued 25/12/2024; reference SOP DOC-IV-MET-CHH-SOP-00039) - comparison only</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SWI-PRO-MET-205-001  ·  Free Cyanide Titration - Silver Nitrate Method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