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WAD Cyanide - Distillation and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WAD Cyanide - Distillation and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Heat-resistant gloves for hot glassware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SWI-PRO-LAB-304-008 - WAD Cyanide - Distillation and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JSEA-PRO-LAB-304-008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weak acid dissociable (WAD) cyanide by distillation with an acetate buffer at pH 4.5. The HCN released is carried by air into a sodium hydroxide absorber, which is then analysed.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WAD cyanide counts free cyanide plus the cyanide held in weak metal complexes such as zinc, copper and nickel, which a free cyanide test does not see.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a distillation train is purchased.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HM-PRC-VXX-PRO215 - Laboratory Environmental and Cyanide Analysis.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SWI-PRO-LAB-304-008 in HM-MMM-WHS-REG-XXX-R00-SWI-SWMS, tab SWI-LAB. The matching hazard analysis is JSEA-PRO-LAB-304-008.</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Status: No cyanide distillation train is included in ILS quote Q0023979. WAD cyanide is a licence-condition analysis for a cyanide plant - resolve before commissioning. This instruction is not for use until the train is purchased and the items marked (TBC) are checked against the method.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generated in the distillation flask by the acid buffer — All work in the fume cupboard. Train leak tested before use. Air drawing through the absorber before any buffer goes in. Personal HCN monitor worn. Fixed detection healthy - alarm 5 ppm, high-high 10 ppm. Antidote kit on site and a trained first aider on shift.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the acid buffer, zinc acetate or sodium hydroxide — Face shield, goggles, acid-resistant gloves and apron. Acid added to water, never the reverse. Every volume drawn with a pipette filler.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Suck-back or pressure build-up in the train — Absorber watched for steady bubbling throughout. Heat off at the first sign of suck-back. Air kept drawing. A closed system is never heated.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Burns from the boiling flask and heating mantle, and cuts from broken glassware — Flask clamped and handled hot only with heat-resistant gloves. Train cooled before it is dismantled. Glassware inspected for star cracks and discarded if damaged.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Wrong result from a leak, an incomplete distillation or carry-over — Leak test before every batch. Distillation run for its full time. A blank and a check standard run with every batch.</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JSEA-PRO-LAB-304-008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HCN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Train not leak tested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Cooling water not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pH dosing are running, and the sash is at the marked working height.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Shift Supervisor knows the task is starting and a second person is in the area.</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HCN monitor is calibrated, in test date and switched on, and the fixed detection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cyanide antidote kit is on site and a trained first aider is on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train has been leak tested, dried and cleaned to SWI-PRO-LAB-304-010.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were made up to SWI-PRO-LAB-304-019 and are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the flask, condenser and absorber for star cracks and discard anything damaged. Inspect the heating mantle lead and controller.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Cyanide distillation train – TBC (not yet purchased)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Heating mantle with controller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Air or vacuum source with flow control – TBC</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Gas absorber with sodium hydroxide absorbing solution – strength TBC</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Acetate buffer pH 4.5 and zinc acetate – to SWI-PRO-LAB-304-019</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Pipettes and pipette filler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Volumetric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Cooling water supply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Heat-resistant gloves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Apparatus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Leak in the train — HCN to the cupboard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Absorber not drawing — HCN has nowhere to go</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Condenser dry — HCN and steam carried past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Assemble the train in the fume cupboard and clamp the flask, condenser and absorber.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absorber with the sodium hydroxide absorbing solution (volume TBC).</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Turn on the cooling water and confirm it is flowing through the condenser before any heat is applied.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Start the air draw and confirm steady bubbling through the absorber. If it does not bubble, the train leaks — stop and find the leak.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Air must be drawing through the absorber before the buffer goes in. Otherwise the HCN has nowhere to go but out.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Charge and Distillation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release when the buffer is added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acid buffer or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Suck-back from the absorber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Pipette the sample (volume TBC) into the distillation flask.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With the air drawing, add the zinc acetate and the acetate buffer through the reagent inlet. Never lift the flask stopper once the buffer is 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inlet with a little deionised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on the heating mantle and bring the flask to a steady reflux.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Distil for the full time the method states (TBC) with the air drawing steadily.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Stay with the train while it is heating. Watch the absorber for steady bubbling.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blank and a check standard through the same sequence with every batch.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If the absorber stops bubbling or liquid starts to suck back, switch off the heat, keep the air drawing and call the Shift Supervisor.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Cool Down and Determination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HCN left in the flask when the air is stopped early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Burns from the hot flask and mantle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Calculation error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Switch off the heat and keep the air drawing while the flask cools (time TBC). This sweeps the last HCN into the absorber.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Stop the air only when the flask is cool.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Transfer the absorber solution to a volumetric flask and make up to the mark with deionised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cyanide in the absorber solution by titration to SWI-PRO-LAB-304-005, or by colorimetric reading to SWI-PRO-LAB-304-006 once it is in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WAD cyanide in the sample from the absorber result, the absorber volume and the sample volume (TBC).</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Have the calculation cross-checked before the result is reported.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Shutdown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Acidic flask residue still releasing HCN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solution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Results not traceable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the flask residue alkaline with sodium hydroxide before dismantling. It is acidic and still holds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Empty the flask residue and spent absorber solution to cyanide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mantle to cool before moving it. Rinse and clean the train to SWI-PRO-LAB-304-010.</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train identity. Any step not completed is recorded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Any control in Part 2 found not in place is reported to the Shift Supervisor and recorded.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Laboratory Environmental and Cyanide Analysis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JSEA-PRO-LAB-304-008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WAD Cyanide - Distillation and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SWI-LAB</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SWI-PRO-LAB-304-005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Free Cyanide by Titration - Silver Nitrate and Rhodanine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SWI-PRO-LAB-304-006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Free Cyanide by Direct Colorimetric Reading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SWI-PRO-LAB-304-010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Distillation Apparatus Leak Test, Drying and Cleaning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SWI-PRO-LAB-304-019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Preparation of Cyanide Analysis Reagents - Pre and Post Distillation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Quote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Laboratory equipment quote — no cyanide distillation train included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TBC</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WAD cyanide distillation method and train operating manual (not yet purchased)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Leak or Suck-back in the Train Switch off the heat at the controller, keep the air drawing, lower the sash and step back. Call the Shift Supervisor. Do not reach in until the HCN monitor reads clear.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Flush with copious water at the safety shower or eyewash for a minimum of 15 minutes. Remove contaminated clothing while flushing.</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SWI-PRO-LAB-304-008</w:t>
          </w:r>
          <w:r w:rsidR="00945F8F" w:rsidRPr="00945F8F">
            <w:rPr>
              <w:sz w:val="16"/>
              <w:szCs w:val="16"/>
            </w:rPr>
            <w:t xml:space="preserve"> — </w:t>
          </w:r>
          <w:r w:rsidR="005D5479" w:rsidRPr="005D5479">
            <w:rPr>
              <w:sz w:val="16"/>
              <w:szCs w:val="16"/>
            </w:rPr>
            <w:t>WAD Cyanide - Distillation and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WAD Cyanide - Distillation and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SWI-PRO-LAB-304-008 - WAD Cyanide - Distillation and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