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Static and Dynamic Settling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Static and Dynamic Settling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SWI-PRO-MET-204-009 - Static and Dynamic Settling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how fast solids settle, with and without flocculant, and what underflow density results.</w:t>
            </w:r>
          </w:p>
          <w:p w14:paraId="2578DD76" w14:textId="77777777" w:rsidR="00294C35" w:rsidRPr="00294C35" w:rsidRDefault="00294C35" w:rsidP="00294C35">
            <w:pPr>
              <w:rPr>
                <w:sz w:val="20"/>
                <w:szCs w:val="20"/>
              </w:rPr>
            </w:pPr>
            <w:r>
              <w:rPr>
                <w:sz w:val="20"/>
                <w:szCs w:val="20"/>
              </w:rPr>
              <w:t xml:space="preserve">This is the test behind every thickener decision - flux, flocculant dose and underflow density.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whenever thickener performance changes.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Settling cylinders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Flocculant solutions at known strength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Plunger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and Flocculant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Flocculant not at plant strength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sample at the thickener feed density and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up flocculant at the plant strength. A test run on differently prepared flocculant does not transfer to the plant.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Settling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Over-mixing shearing the floc</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a broken cylinder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the open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cylinder, add the flocculant dose and mix with the plunger using the standard number of strokes. Over-mixing shears the floc and understates the settling 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Start the clock and record the interface height at set intervals.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until the interface stops moving, then record the compaction over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at three or more flocculant doses to find the response curve.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Dose not related to the design basis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settling rate and the achievable underflow density for each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optimum dose and the flux against the thickener design basis.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Static and Dynamic Settling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Pengendapan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4034-018A-VE-007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tails thickener control philosophy,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SWI-PRO-MET-204-009</w:t>
          </w:r>
          <w:r w:rsidR="00945F8F" w:rsidRPr="00945F8F">
            <w:rPr>
              <w:sz w:val="16"/>
              <w:szCs w:val="16"/>
            </w:rPr>
            <w:t xml:space="preserve"> — </w:t>
          </w:r>
          <w:r w:rsidR="005D5479" w:rsidRPr="005D5479">
            <w:rPr>
              <w:sz w:val="16"/>
              <w:szCs w:val="16"/>
            </w:rPr>
            <w:t>Static and Dynamic Settling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Static and Dynamic Settling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SWI-PRO-MET-204-009 - Static and Dynamic Settling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