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Caustic Soda Strength Titration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SWI-PRO-MET-205-002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JSEA-PRO-MET-205-002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instructions 'ReCYN Plant Caustic Strength Measurement' (DOC-3-MET-PMC-WIN-00088-IE) and 'Sodium Hydroxide Titration' (DOC-3-MET-PMC-WIN-00102-IE), both v1.0 issued 25/12/2024, added as Section 6 Part B. Not approved until reviewed. JSEA JSEA-PRO-MET-205-002 must be checked.</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Determine sodium hydroxide strength by acid titration.</w:t>
      </w:r>
    </w:p>
    <w:p>
      <w:pPr>
        <w:spacing w:after="60" w:before="0" w:line="245"/>
      </w:pPr>
      <w:r>
        <w:rPr>
          <w:rFonts w:ascii="Calibri" w:cs="Calibri" w:eastAsia="Calibri" w:hAnsi="Calibri"/>
          <w:sz w:val="17"/>
          <w:szCs w:val="17"/>
        </w:rPr>
        <w:t xml:space="preserve">Caustic strength sets the elution eluant and the pH control across the plant.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Every made-up batch and once per shift on standing solution.</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SWI-PRO-MET-205-002 in HM-MMM-WHS-REG-XXX-R00-SWI-SWMS, tab SWI-MET. The matching hazard analysis is JSEA-PRO-MET-205-002.</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JSEA-PRO-MET-205-002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sodium hydroxide solution - burn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Full chemical PPE including face shield and chemical-resistant gloves. Sample drawn slowly from the designated valve. Safety shower and eyewash within reach and proven flowing.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JSEA-PRO-MET-205-002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Burette and stand</w:t>
      </w:r>
    </w:p>
    <w:p>
      <w:pPr>
        <w:pStyle w:val="ListParagraph"/>
        <w:numPr>
          <w:ilvl w:val="0"/>
          <w:numId w:val="1"/>
        </w:numPr>
        <w:spacing w:after="60" w:line="245"/>
      </w:pPr>
      <w:r>
        <w:rPr>
          <w:rFonts w:ascii="Calibri" w:cs="Calibri" w:eastAsia="Calibri" w:hAnsi="Calibri"/>
          <w:sz w:val="17"/>
          <w:szCs w:val="17"/>
        </w:rPr>
        <w:t xml:space="preserve">Pipette</w:t>
      </w:r>
    </w:p>
    <w:p>
      <w:pPr>
        <w:pStyle w:val="ListParagraph"/>
        <w:numPr>
          <w:ilvl w:val="0"/>
          <w:numId w:val="1"/>
        </w:numPr>
        <w:spacing w:after="60" w:line="245"/>
      </w:pPr>
      <w:r>
        <w:rPr>
          <w:rFonts w:ascii="Calibri" w:cs="Calibri" w:eastAsia="Calibri" w:hAnsi="Calibri"/>
          <w:sz w:val="17"/>
          <w:szCs w:val="17"/>
        </w:rPr>
        <w:t xml:space="preserve">Conical flasks</w:t>
      </w:r>
    </w:p>
    <w:p>
      <w:pPr>
        <w:pStyle w:val="ListParagraph"/>
        <w:numPr>
          <w:ilvl w:val="0"/>
          <w:numId w:val="1"/>
        </w:numPr>
        <w:spacing w:after="60" w:line="245"/>
      </w:pPr>
      <w:r>
        <w:rPr>
          <w:rFonts w:ascii="Calibri" w:cs="Calibri" w:eastAsia="Calibri" w:hAnsi="Calibri"/>
          <w:sz w:val="17"/>
          <w:szCs w:val="17"/>
        </w:rPr>
        <w:t xml:space="preserve">Standardised HCl</w:t>
      </w:r>
    </w:p>
    <w:p>
      <w:pPr>
        <w:pStyle w:val="ListParagraph"/>
        <w:numPr>
          <w:ilvl w:val="0"/>
          <w:numId w:val="1"/>
        </w:numPr>
        <w:spacing w:after="60" w:line="245"/>
      </w:pPr>
      <w:r>
        <w:rPr>
          <w:rFonts w:ascii="Calibri" w:cs="Calibri" w:eastAsia="Calibri" w:hAnsi="Calibri"/>
          <w:sz w:val="17"/>
          <w:szCs w:val="17"/>
        </w:rPr>
        <w:t xml:space="preserve">Phenolphthalein indicator</w:t>
      </w:r>
    </w:p>
    <w:p>
      <w:pPr>
        <w:pStyle w:val="ListParagraph"/>
        <w:numPr>
          <w:ilvl w:val="0"/>
          <w:numId w:val="1"/>
        </w:numPr>
        <w:spacing w:after="60" w:line="245"/>
      </w:pPr>
      <w:r>
        <w:rPr>
          <w:rFonts w:ascii="Calibri" w:cs="Calibri" w:eastAsia="Calibri" w:hAnsi="Calibri"/>
          <w:sz w:val="17"/>
          <w:szCs w:val="17"/>
        </w:rPr>
        <w:t xml:space="preserve">Distilled water</w:t>
      </w:r>
    </w:p>
    <w:p>
      <w:pPr>
        <w:pStyle w:val="ListParagraph"/>
        <w:numPr>
          <w:ilvl w:val="0"/>
          <w:numId w:val="1"/>
        </w:numPr>
        <w:spacing w:after="60" w:line="245"/>
      </w:pPr>
      <w:r>
        <w:rPr>
          <w:rFonts w:ascii="Calibri" w:cs="Calibri" w:eastAsia="Calibri" w:hAnsi="Calibri"/>
          <w:sz w:val="17"/>
          <w:szCs w:val="17"/>
        </w:rPr>
        <w:t xml:space="preserve">Fume cupboard</w:t>
      </w:r>
    </w:p>
    <w:p>
      <w:pPr>
        <w:pStyle w:val="ListParagraph"/>
        <w:numPr>
          <w:ilvl w:val="0"/>
          <w:numId w:val="1"/>
        </w:numPr>
        <w:spacing w:after="60" w:line="245"/>
      </w:pPr>
      <w:r>
        <w:rPr>
          <w:rFonts w:ascii="Calibri" w:cs="Calibri" w:eastAsia="Calibri" w:hAnsi="Calibri"/>
          <w:sz w:val="17"/>
          <w:szCs w:val="17"/>
        </w:rPr>
        <w:t xml:space="preserve">[M] Standardised sulphuric acid in place of HCl for Part B; 100 mL and 500 mL beakers; closed 100 mL sample bottle</w:t>
      </w:r>
    </w:p>
    <w:p>
      <w:pPr>
        <w:pStyle w:val="ListParagraph"/>
        <w:numPr>
          <w:ilvl w:val="0"/>
          <w:numId w:val="1"/>
        </w:numPr>
        <w:spacing w:after="60" w:line="245"/>
      </w:pPr>
      <w:r>
        <w:rPr>
          <w:rFonts w:ascii="Calibri" w:cs="Calibri" w:eastAsia="Calibri" w:hAnsi="Calibri"/>
          <w:sz w:val="17"/>
          <w:szCs w:val="17"/>
        </w:rPr>
        <w:t xml:space="preserve">[M] 100 to 120 mL sample bottle, 100 mL beaker, 10 mL syringe, burette; sulphuric acid (standardised) for Part B</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Sodium hydroxide strength by HCl titration</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Take the sample from the designated diluted-solution valve, never from the concentrated tank.</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Dilute the aliquot where the method requires it, adding caustic to water.</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Add phenolphthalein indicator - the solution turns pink.</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Titrate with standardised HCl until the pink just disappears and stays gone for 30 seconds.</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Record the titre and calculate strength.</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Compare against the target make-up strength and report any batch outside range before it is used.</w:t>
      </w:r>
    </w:p>
    <w:p>
      <w:pPr>
        <w:spacing w:after="90" w:before="180" w:line="245"/>
        <w:keepNext/>
      </w:pPr>
      <w:r>
        <w:rPr>
          <w:rFonts w:ascii="Calibri" w:cs="Calibri" w:eastAsia="Calibri" w:hAnsi="Calibri"/>
          <w:b/>
          <w:bCs/>
          <w:color w:val="1F3864"/>
          <w:sz w:val="19"/>
          <w:szCs w:val="19"/>
        </w:rPr>
        <w:t xml:space="preserve">Part B - Caustic strength by sulphuric acid titration [M]</w:t>
      </w:r>
    </w:p>
    <w:p>
      <w:pPr>
        <w:spacing w:after="60" w:before="0" w:line="245"/>
      </w:pPr>
      <w:r>
        <w:rPr>
          <w:rFonts w:ascii="Calibri" w:cs="Calibri" w:eastAsia="Calibri" w:hAnsi="Calibri"/>
          <w:sz w:val="17"/>
          <w:szCs w:val="17"/>
        </w:rPr>
        <w:t xml:space="preserve">[M] = taken from the Martabe team work instruction "Recyn Plant Caustic Strength Measurement (DOC-3-MET-PMC-WIN-00088-IE)" (25/12/2024). [CONFIRM] = unspecified or inconsistent in the source; resolve before this instruction is approved for use. Part A (HCl titration) is unchanged.</w:t>
      </w:r>
    </w:p>
    <w:p>
      <w:pPr>
        <w:spacing w:after="60" w:before="0" w:line="245"/>
      </w:pPr>
      <w:r>
        <w:rPr>
          <w:rFonts w:ascii="Calibri" w:cs="Calibri" w:eastAsia="Calibri" w:hAnsi="Calibri"/>
          <w:sz w:val="17"/>
          <w:szCs w:val="17"/>
        </w:rPr>
        <w:t xml:space="preserve">The titration is from the Martabe 'Sodium Hydroxide Titration' instruction (DOC-3-MET-PMC-WIN-00102-IE, issued 25/12/2024). [CONFIRM] the Martabe instruction for preparing the sulphuric acid has not been received. Part A uses HCl, which reacts 1:1 with NaOH; this part uses H2SO4, which reacts 2:1.</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Reaction: H2SO4 + 2 NaOH gives Na2SO4 + 2 H2O. So the moles of H2SO4 are half the moles of NaOH.</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Calculation: 2 x [H2SO4] x V(H2SO4) = [NaOH] x V(sample NaOH). So [NaOH] = 2 x [H2SO4] x V(H2SO4) / V(sample NaOH). [H2SO4] is the standardised molarity, V(H2SO4) the titre and V(sample) the aliquot. To convert to g/L multiply [NaOH] in mol/L by 40.0. [CONFIRM] the source gives the formula in molarity only.</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Record the result as in Part A, against the target make-up strength.</w:t>
      </w:r>
    </w:p>
    <w:p>
      <w:pPr>
        <w:spacing w:after="60" w:before="0" w:line="245"/>
      </w:pPr>
      <w:r>
        <w:rPr>
          <w:rFonts w:ascii="Calibri" w:cs="Calibri" w:eastAsia="Calibri" w:hAnsi="Calibri"/>
          <w:b/>
          <w:sz w:val="17"/>
          <w:szCs w:val="17"/>
        </w:rPr>
        <w:t xml:space="preserve">Titration procedure [M]</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Check the equipment: no cracked or leaking bottle, beaker or syringe. Prepare the caustic sample, phenolphthalein, distilled water and the sulphuric acid titrant. Confirm none is out of date.</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Take 5 mL of the NaOH sample with a syringe and put it in the beaker. Add 3 to 5 drops of phenolphthalein.</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Titrate with the sulphuric acid from the burette into the beaker, swirling gently to mix, until the colour changes.</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End point: the source says to stop when the solution turns 'soft pink'. [CONFIRM] phenolphthalein is pink in caustic and goes colourless at the end point; use the Part A end point, where the pink just disappears and stays gone for 30 seconds.</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Calculate [NaOH] with the formula above. [CONFIRM] the source titrant is '5 per cent H2SO4' (made from 95 to 97 per cent acid), which is not a molarity. Standardise the titrant and use its molarity in the formula.</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Pour the remaining solution into the hazardous waste (B3) jerrycan. [CONFIRM] use this site's waste stream.</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KBK-MIR-MP-PRO-OPE-SOP-0009 Titrasi Kaustik Soda</w:t>
      </w:r>
    </w:p>
    <w:p>
      <w:pPr>
        <w:pStyle w:val="ListParagraph"/>
        <w:numPr>
          <w:ilvl w:val="0"/>
          <w:numId w:val="1"/>
        </w:numPr>
        <w:spacing w:after="60" w:line="245"/>
      </w:pPr>
      <w:r>
        <w:rPr>
          <w:rFonts w:ascii="Calibri" w:cs="Calibri" w:eastAsia="Calibri" w:hAnsi="Calibri"/>
          <w:sz w:val="17"/>
          <w:szCs w:val="17"/>
        </w:rPr>
        <w:t xml:space="preserve">KBK-MIR-MP-PRO-MET-SOP-0025 and SOP-0039/0040 hydrochloric acid titration, received 11 Aug 2026</w:t>
      </w:r>
    </w:p>
    <w:p>
      <w:pPr>
        <w:pStyle w:val="ListParagraph"/>
        <w:numPr>
          <w:ilvl w:val="0"/>
          <w:numId w:val="1"/>
        </w:numPr>
        <w:spacing w:after="60" w:line="245"/>
      </w:pPr>
      <w:r>
        <w:rPr>
          <w:rFonts w:ascii="Calibri" w:cs="Calibri" w:eastAsia="Calibri" w:hAnsi="Calibri"/>
          <w:sz w:val="17"/>
          <w:szCs w:val="17"/>
        </w:rPr>
        <w:t xml:space="preserve">Martabe work instruction 'ReCYN Plant Caustic Strength Measurement' DOC-3-MET-PMC-WIN-00088-IE v1.0 (issued 25/12/2024) - Part B calculation</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SWI-PRO-MET-205-002  ·  Caustic Soda Strength Titration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