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4314099"/>
        <w:docPartObj>
          <w:docPartGallery w:val="Cover Pages"/>
          <w:docPartUnique/>
        </w:docPartObj>
      </w:sdtPr>
      <w:sdtEndPr/>
      <w:sdtContent>
        <w:p w14:paraId="274FD4E2" w14:textId="180D8785" w:rsidR="004548D3" w:rsidRDefault="004548D3">
          <w:r>
            <w:rPr>
              <w:noProof/>
              <w:sz w:val="20"/>
              <w:szCs w:val="20"/>
            </w:rPr>
            <w:drawing>
              <wp:anchor distT="0" distB="0" distL="114300" distR="114300" simplePos="0" relativeHeight="251658252" behindDoc="1" locked="0" layoutInCell="1" allowOverlap="1" wp14:anchorId="1C01612E" wp14:editId="6CE1CB40">
                <wp:simplePos x="0" y="0"/>
                <wp:positionH relativeFrom="page">
                  <wp:align>left</wp:align>
                </wp:positionH>
                <wp:positionV relativeFrom="paragraph">
                  <wp:posOffset>-52573</wp:posOffset>
                </wp:positionV>
                <wp:extent cx="5504180" cy="1198880"/>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4180" cy="1198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A618A2" w14:textId="6ABC87FA" w:rsidR="004548D3" w:rsidRDefault="004548D3">
          <w:r>
            <w:rPr>
              <w:rFonts w:cstheme="minorHAnsi"/>
              <w:b/>
              <w:noProof/>
              <w:color w:val="996633"/>
              <w:sz w:val="24"/>
              <w:szCs w:val="24"/>
              <w:lang w:eastAsia="en-AU"/>
            </w:rPr>
            <w:drawing>
              <wp:anchor distT="0" distB="0" distL="114300" distR="114300" simplePos="0" relativeHeight="251658254" behindDoc="1" locked="0" layoutInCell="1" allowOverlap="1" wp14:anchorId="041BEB55" wp14:editId="219107B5">
                <wp:simplePos x="0" y="0"/>
                <wp:positionH relativeFrom="margin">
                  <wp:align>left</wp:align>
                </wp:positionH>
                <wp:positionV relativeFrom="paragraph">
                  <wp:posOffset>3336868</wp:posOffset>
                </wp:positionV>
                <wp:extent cx="5731510" cy="3724275"/>
                <wp:effectExtent l="114300" t="95250" r="116840" b="161925"/>
                <wp:wrapNone/>
                <wp:docPr id="200403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31472"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724275"/>
                        </a:xfrm>
                        <a:prstGeom prst="rect">
                          <a:avLst/>
                        </a:prstGeom>
                        <a:ln>
                          <a:solidFill>
                            <a:srgbClr val="CC9900"/>
                          </a:solidFill>
                        </a:ln>
                        <a:effectLst>
                          <a:glow rad="63500">
                            <a:srgbClr val="CC9900">
                              <a:alpha val="40000"/>
                            </a:srgbClr>
                          </a:glow>
                          <a:outerShdw blurRad="50800" dist="50800" dir="5400000" algn="ctr" rotWithShape="0">
                            <a:srgbClr val="CC9900"/>
                          </a:outerShdw>
                          <a:softEdge rad="12700"/>
                        </a:effectLst>
                      </pic:spPr>
                    </pic:pic>
                  </a:graphicData>
                </a:graphic>
              </wp:anchor>
            </w:drawing>
          </w:r>
          <w:r>
            <w:rPr>
              <w:noProof/>
            </w:rPr>
            <mc:AlternateContent>
              <mc:Choice Requires="wps">
                <w:drawing>
                  <wp:anchor distT="45720" distB="45720" distL="114300" distR="114300" simplePos="0" relativeHeight="251658253" behindDoc="0" locked="0" layoutInCell="1" allowOverlap="1" wp14:anchorId="483F33E9" wp14:editId="7AB4BCFC">
                    <wp:simplePos x="0" y="0"/>
                    <wp:positionH relativeFrom="margin">
                      <wp:align>center</wp:align>
                    </wp:positionH>
                    <wp:positionV relativeFrom="paragraph">
                      <wp:posOffset>2010650</wp:posOffset>
                    </wp:positionV>
                    <wp:extent cx="6442710" cy="1404620"/>
                    <wp:effectExtent l="0" t="0" r="0" b="0"/>
                    <wp:wrapSquare wrapText="bothSides"/>
                    <wp:docPr id="16504514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2710" cy="1404620"/>
                            </a:xfrm>
                            <a:prstGeom prst="rect">
                              <a:avLst/>
                            </a:prstGeom>
                            <a:solidFill>
                              <a:srgbClr val="FFFFFF"/>
                            </a:solidFill>
                            <a:ln w="9525">
                              <a:noFill/>
                              <a:miter lim="800000"/>
                              <a:headEnd/>
                              <a:tailEnd/>
                            </a:ln>
                          </wps:spPr>
                          <wps:txbx>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Leach Tank Sampling Round - 031-TK-001 Launder and Discharge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83F33E9" id="_x0000_t202" coordsize="21600,21600" o:spt="202" path="m,l,21600r21600,l21600,xe">
                    <v:stroke joinstyle="miter"/>
                    <v:path gradientshapeok="t" o:connecttype="rect"/>
                  </v:shapetype>
                  <v:shape id="Text Box 2" o:spid="_x0000_s1026" type="#_x0000_t202" style="position:absolute;margin-left:0;margin-top:158.3pt;width:507.3pt;height:110.6pt;z-index:251658253;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" stroked="f">
                    <v:textbox style="mso-fit-shape-to-text:t">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Leach Tank Sampling Round - 031-TK-001 Launder and Discharge</w:t>
                          </w:r>
                        </w:p>
                      </w:txbxContent>
                    </v:textbox>
                    <w10:wrap type="square" anchorx="margin"/>
                  </v:shape>
                </w:pict>
              </mc:Fallback>
            </mc:AlternateContent>
            <mc:AlternateContent>
              <mc:Choice Requires="wps">
                <w:drawing>
                  <wp:anchor distT="0" distB="0" distL="114300" distR="114300" simplePos="0" relativeHeight="251658255" behindDoc="0" locked="0" layoutInCell="1" allowOverlap="1" wp14:anchorId="645235FB" wp14:editId="099DAD69">
                    <wp:simplePos x="0" y="0"/>
                    <wp:positionH relativeFrom="margin">
                      <wp:align>center</wp:align>
                    </wp:positionH>
                    <wp:positionV relativeFrom="paragraph">
                      <wp:posOffset>9047117</wp:posOffset>
                    </wp:positionV>
                    <wp:extent cx="7027811" cy="531628"/>
                    <wp:effectExtent l="0" t="0" r="1905" b="1905"/>
                    <wp:wrapNone/>
                    <wp:docPr id="805578583" name="Text Box 2"/>
                    <wp:cNvGraphicFramePr/>
                    <a:graphic xmlns:a="http://schemas.openxmlformats.org/drawingml/2006/main">
                      <a:graphicData uri="http://schemas.microsoft.com/office/word/2010/wordprocessingShape">
                        <wps:wsp>
                          <wps:cNvSpPr txBox="1"/>
                          <wps:spPr>
                            <a:xfrm>
                              <a:off x="0" y="0"/>
                              <a:ext cx="7027811" cy="531628"/>
                            </a:xfrm>
                            <a:prstGeom prst="rect">
                              <a:avLst/>
                            </a:prstGeom>
                            <a:solidFill>
                              <a:schemeClr val="lt1"/>
                            </a:solidFill>
                            <a:ln w="6350">
                              <a:noFill/>
                            </a:ln>
                          </wps:spPr>
                          <wps:txb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5235FB" id="_x0000_s1027" type="#_x0000_t202" style="position:absolute;margin-left:0;margin-top:712.35pt;width:553.35pt;height:41.85pt;z-index:25165825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ojqLwIAAFs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" fillcolor="white [3201]" stroked="f" strokeweight=".5pt">
                    <v:textbo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v:textbox>
                    <w10:wrap anchorx="margin"/>
                  </v:shape>
                </w:pict>
              </mc:Fallback>
            </mc:AlternateContent>
          </w:r>
          <w:r>
            <w:br w:type="page"/>
          </w:r>
        </w:p>
      </w:sdtContent>
    </w:sdt>
    <w:p w14:paraId="6E88798A" w14:textId="77777777" w:rsidR="007B539B" w:rsidRDefault="007B539B" w:rsidP="007B539B"/>
    <w:p w14:paraId="7279503A" w14:textId="77777777" w:rsidR="000107B7" w:rsidRDefault="000107B7" w:rsidP="000107B7">
      <w:pPr>
        <w:pStyle w:val="Heading1"/>
        <w:tabs>
          <w:tab w:val="num" w:pos="720"/>
        </w:tabs>
        <w:spacing w:before="0" w:after="0"/>
        <w:ind w:left="720" w:hanging="360"/>
        <w:rPr>
          <w:rFonts w:cstheme="minorHAnsi"/>
          <w:b/>
          <w:color w:val="996633"/>
          <w:sz w:val="24"/>
          <w:szCs w:val="24"/>
          <w:lang w:eastAsia="en-AU"/>
        </w:rPr>
      </w:pPr>
      <w:r>
        <w:rPr>
          <w:rFonts w:cstheme="minorHAnsi"/>
          <w:b/>
          <w:color w:val="996633"/>
          <w:sz w:val="24"/>
          <w:szCs w:val="24"/>
          <w:lang w:eastAsia="en-AU"/>
        </w:rPr>
        <w:t>Purpose and Scope</w:t>
      </w:r>
    </w:p>
    <w:p w14:paraId="792CAAE3" w14:textId="77777777" w:rsidR="00EB7B26" w:rsidRPr="00EB7B26" w:rsidRDefault="00EB7B26" w:rsidP="00EB7B26">
      <w:pPr>
        <w:rPr>
          <w:sz w:val="2"/>
          <w:szCs w:val="2"/>
          <w:lang w:eastAsia="en-AU"/>
        </w:rPr>
      </w:pPr>
    </w:p>
    <w:p w14:paraId="3307B2D0" w14:textId="77777777" w:rsidR="000107B7" w:rsidRPr="00743758" w:rsidRDefault="000107B7" w:rsidP="000107B7">
      <w:pPr>
        <w:pStyle w:val="BodyText"/>
        <w:spacing w:line="276" w:lineRule="auto"/>
        <w:ind w:left="431"/>
        <w:rPr>
          <w:rFonts w:asciiTheme="minorHAnsi" w:hAnsiTheme="minorHAnsi"/>
          <w:i/>
          <w:sz w:val="20"/>
        </w:rPr>
      </w:pPr>
      <w:r>
        <w:rPr>
          <w:rFonts w:asciiTheme="minorHAnsi" w:hAnsiTheme="minorHAnsi" w:cstheme="minorHAnsi"/>
          <w:i/>
          <w:sz w:val="20"/>
        </w:rPr>
        <w:t>This Safe Work Instruction is required so that the mechanical and operational integrity of the system is kept intact. It assists operators and mechanical technicians alike to identify possible problems before they happen.  It will help ensure that when personnel are performing this task it is performed in a safe and secure manner, to ensure the operational integrity of the machine and applies when this task is performed either by itself or in conjunction with other tasks in the area</w:t>
      </w:r>
      <w:r>
        <w:rPr>
          <w:rFonts w:asciiTheme="minorHAnsi" w:hAnsiTheme="minorHAnsi"/>
          <w:i/>
          <w:sz w:val="20"/>
        </w:rPr>
        <w:t xml:space="preserve">. </w:t>
      </w:r>
    </w:p>
    <w:p w14:paraId="4963A536" w14:textId="77777777" w:rsidR="000107B7" w:rsidRPr="005B3DBD" w:rsidRDefault="000107B7" w:rsidP="000107B7">
      <w:pPr>
        <w:spacing w:line="276" w:lineRule="auto"/>
        <w:ind w:left="426"/>
        <w:rPr>
          <w:i/>
          <w:lang w:val="en-US"/>
        </w:rPr>
      </w:pPr>
    </w:p>
    <w:tbl>
      <w:tblPr>
        <w:tblW w:w="0" w:type="auto"/>
        <w:tblInd w:w="-5"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021"/>
      </w:tblGrid>
      <w:tr w:rsidR="000107B7" w:rsidRPr="00D66A74" w14:paraId="59090E9D" w14:textId="77777777" w:rsidTr="003744DA">
        <w:tc>
          <w:tcPr>
            <w:tcW w:w="9021" w:type="dxa"/>
            <w:tcBorders>
              <w:top w:val="single" w:sz="4" w:space="0" w:color="auto"/>
              <w:bottom w:val="single" w:sz="4" w:space="0" w:color="auto"/>
            </w:tcBorders>
            <w:shd w:val="clear" w:color="auto" w:fill="CC9900"/>
          </w:tcPr>
          <w:p w14:paraId="0EC5E5AE" w14:textId="77777777" w:rsidR="000107B7" w:rsidRPr="00D66A74" w:rsidRDefault="000107B7" w:rsidP="003744DA">
            <w:pPr>
              <w:spacing w:before="120" w:after="120" w:line="240" w:lineRule="auto"/>
              <w:jc w:val="center"/>
              <w:rPr>
                <w:b/>
                <w:i/>
                <w:color w:val="FF0000"/>
                <w:lang w:val="en-US"/>
              </w:rPr>
            </w:pPr>
            <w:r>
              <w:rPr>
                <w:b/>
                <w:i/>
                <w:lang w:val="en-US"/>
              </w:rPr>
              <w:t xml:space="preserve">A JSA or Take 5 </w:t>
            </w:r>
            <w:r>
              <w:rPr>
                <w:b/>
                <w:i/>
                <w:u w:val="single"/>
                <w:lang w:val="en-US"/>
              </w:rPr>
              <w:t>must</w:t>
            </w:r>
            <w:r>
              <w:rPr>
                <w:b/>
                <w:i/>
                <w:lang w:val="en-US"/>
              </w:rPr>
              <w:t xml:space="preserve"> be completed and discussed with the Supervisor if any variation to this SWI is necessary.</w:t>
            </w:r>
          </w:p>
        </w:tc>
      </w:tr>
    </w:tbl>
    <w:p w14:paraId="4B828509" w14:textId="77777777" w:rsidR="000107B7" w:rsidRPr="00BD7698" w:rsidRDefault="000107B7" w:rsidP="000107B7">
      <w:pPr>
        <w:spacing w:after="0" w:line="240" w:lineRule="auto"/>
        <w:rPr>
          <w:rFonts w:ascii="Calibri" w:hAnsi="Calibri"/>
        </w:rPr>
      </w:pPr>
    </w:p>
    <w:p w14:paraId="6936889A" w14:textId="77777777"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RESPONSIBILITIES AND AUTHORITY</w:t>
      </w:r>
    </w:p>
    <w:p w14:paraId="6C237015" w14:textId="77777777" w:rsidR="000107B7" w:rsidRPr="00AA53D8" w:rsidRDefault="000107B7" w:rsidP="000107B7">
      <w:pPr>
        <w:rPr>
          <w:sz w:val="8"/>
          <w:szCs w:val="8"/>
          <w:lang w:eastAsia="en-AU"/>
        </w:rPr>
      </w:pPr>
    </w:p>
    <w:tbl>
      <w:tblPr>
        <w:tblStyle w:val="TableGrid3"/>
        <w:tblW w:w="0" w:type="auto"/>
        <w:tblLook w:val="04A0" w:firstRow="1" w:lastRow="0" w:firstColumn="1" w:lastColumn="0" w:noHBand="0" w:noVBand="1"/>
      </w:tblPr>
      <w:tblGrid>
        <w:gridCol w:w="3017"/>
        <w:gridCol w:w="3215"/>
        <w:gridCol w:w="2784"/>
      </w:tblGrid>
      <w:tr w:rsidR="000107B7" w:rsidRPr="00D66A74" w14:paraId="1B1EEB35" w14:textId="77777777" w:rsidTr="003744DA">
        <w:tc>
          <w:tcPr>
            <w:tcW w:w="3017" w:type="dxa"/>
            <w:shd w:val="clear" w:color="auto" w:fill="CC9900"/>
          </w:tcPr>
          <w:p w14:paraId="268FC44D"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 xml:space="preserve">What </w:t>
            </w:r>
          </w:p>
        </w:tc>
        <w:tc>
          <w:tcPr>
            <w:tcW w:w="3215" w:type="dxa"/>
            <w:shd w:val="clear" w:color="auto" w:fill="CC9900"/>
          </w:tcPr>
          <w:p w14:paraId="746A7C63"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Who</w:t>
            </w:r>
          </w:p>
        </w:tc>
        <w:tc>
          <w:tcPr>
            <w:tcW w:w="2784" w:type="dxa"/>
            <w:shd w:val="clear" w:color="auto" w:fill="CC9900"/>
          </w:tcPr>
          <w:p w14:paraId="3432C792"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When</w:t>
            </w:r>
          </w:p>
        </w:tc>
      </w:tr>
      <w:tr w:rsidR="000107B7" w:rsidRPr="00D66A74" w14:paraId="4A3F0316" w14:textId="77777777" w:rsidTr="003744DA">
        <w:tc>
          <w:tcPr>
            <w:tcW w:w="3017" w:type="dxa"/>
          </w:tcPr>
          <w:p w14:paraId="0C3208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Conform to procedure:</w:t>
            </w:r>
          </w:p>
          <w:p w14:paraId="767B06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Implement Changes:</w:t>
            </w:r>
          </w:p>
          <w:p w14:paraId="68B398CF"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Change procedure:</w:t>
            </w:r>
          </w:p>
          <w:p w14:paraId="4CFA230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Review:</w:t>
            </w:r>
          </w:p>
          <w:p w14:paraId="331E979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Authorisation:</w:t>
            </w:r>
          </w:p>
        </w:tc>
        <w:tc>
          <w:tcPr>
            <w:tcW w:w="3215" w:type="dxa"/>
          </w:tcPr>
          <w:p w14:paraId="37AB343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All personnel</w:t>
            </w:r>
          </w:p>
          <w:p w14:paraId="3DFF9F3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Anyone</w:t>
            </w:r>
          </w:p>
          <w:p w14:paraId="128CBEE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Training Facilitator</w:t>
            </w:r>
          </w:p>
          <w:p w14:paraId="3C84724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Working party of content experts</w:t>
            </w:r>
          </w:p>
          <w:p w14:paraId="402180F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Manager</w:t>
            </w:r>
          </w:p>
        </w:tc>
        <w:tc>
          <w:tcPr>
            <w:tcW w:w="2784" w:type="dxa"/>
          </w:tcPr>
          <w:p w14:paraId="605C3A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At all times</w:t>
            </w:r>
          </w:p>
          <w:p w14:paraId="4D4D515E"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A3750A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71CDC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 &amp; yearly</w:t>
            </w:r>
          </w:p>
          <w:p w14:paraId="1954189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w:t>
            </w:r>
          </w:p>
        </w:tc>
      </w:tr>
    </w:tbl>
    <w:p w14:paraId="61F3B7AA" w14:textId="32D85F9F" w:rsidR="000107B7" w:rsidRPr="00AA53D8" w:rsidRDefault="00670544"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PPE REQUIREMENTS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helmet and safety glasses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splash goggles and face shield</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High-visibility long-sleeved shirt and long trousers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boots with sound tread - nitrile PVC boots at the sample point</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resistant suit, nitrile rubber gloves and apron</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Personal HCN gas monitor, calibrated and in test date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Full or half gas mask with A2B2E2K2P3 cartridge, carried and available for immediate use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Harness and fall arrest where no fixed platform exists</w:t>
      </w:r>
    </w:p>
    <w:p w14:paraId="6B19EBE1" w14:textId="77777777" w:rsidR="000107B7" w:rsidRDefault="000107B7" w:rsidP="000107B7">
      <w:pPr>
        <w:tabs>
          <w:tab w:val="left" w:pos="3941"/>
        </w:tabs>
        <w:autoSpaceDE w:val="0"/>
        <w:autoSpaceDN w:val="0"/>
        <w:adjustRightInd w:val="0"/>
        <w:spacing w:after="0" w:line="276" w:lineRule="auto"/>
        <w:rPr>
          <w:rFonts w:cstheme="minorHAnsi"/>
        </w:rPr>
      </w:pPr>
    </w:p>
    <w:tbl>
      <w:tblPr>
        <w:tblStyle w:val="TableGrid3"/>
        <w:tblW w:w="0" w:type="auto"/>
        <w:tblInd w:w="137" w:type="dxa"/>
        <w:tblLook w:val="04A0" w:firstRow="1" w:lastRow="0" w:firstColumn="1" w:lastColumn="0" w:noHBand="0" w:noVBand="1"/>
      </w:tblPr>
      <w:tblGrid>
        <w:gridCol w:w="8789"/>
      </w:tblGrid>
      <w:tr w:rsidR="000107B7" w:rsidRPr="00D66A74" w14:paraId="7720C4D5" w14:textId="77777777" w:rsidTr="003744DA">
        <w:trPr>
          <w:cantSplit/>
          <w:trHeight w:val="264"/>
        </w:trPr>
        <w:tc>
          <w:tcPr>
            <w:tcW w:w="8789" w:type="dxa"/>
            <w:shd w:val="clear" w:color="auto" w:fill="CC9900"/>
          </w:tcPr>
          <w:p w14:paraId="5C7B094D"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0107B7" w:rsidRPr="00D66A74" w14:paraId="7556BC93" w14:textId="77777777" w:rsidTr="003744DA">
        <w:trPr>
          <w:cantSplit/>
          <w:trHeight w:val="1907"/>
        </w:trPr>
        <w:tc>
          <w:tcPr>
            <w:tcW w:w="8789" w:type="dxa"/>
          </w:tcPr>
          <w:p w14:paraId="52B20E06" w14:textId="77777777" w:rsidR="004A6DAB" w:rsidRPr="00C23E54" w:rsidRDefault="004A6DAB" w:rsidP="003744DA">
            <w:pPr>
              <w:keepNext/>
              <w:tabs>
                <w:tab w:val="left" w:pos="3941"/>
              </w:tabs>
              <w:autoSpaceDE w:val="0"/>
              <w:autoSpaceDN w:val="0"/>
              <w:adjustRightInd w:val="0"/>
              <w:spacing w:line="276" w:lineRule="auto"/>
              <w:jc w:val="center"/>
              <w:rPr>
                <w:rFonts w:cs="Calibri"/>
                <w:b/>
                <w:i/>
                <w:color w:val="EE0000"/>
                <w:sz w:val="16"/>
                <w:szCs w:val="16"/>
              </w:rPr>
            </w:pPr>
          </w:p>
          <w:p w14:paraId="19295B4C" w14:textId="58A52610" w:rsidR="000107B7" w:rsidRPr="00D52EAC"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 xml:space="preserve">Call on CH19 “EMERGENCY, EMERGENCY, EMERGENCY” on the project to make everyone aware, call 000 for emergency services, police, fire or ambulance, you will need to stay calm and state when</w:t>
            </w:r>
          </w:p>
          <w:p w14:paraId="62A0337F"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requested by a responder:</w:t>
            </w:r>
          </w:p>
          <w:p w14:paraId="36E47484" w14:textId="77777777" w:rsidR="000107B7" w:rsidRPr="004A6DAB" w:rsidRDefault="000107B7" w:rsidP="003744DA">
            <w:pPr>
              <w:keepNext/>
              <w:rPr>
                <w:rFonts w:asciiTheme="minorHAnsi" w:hAnsiTheme="minorHAnsi" w:cs="Calibri"/>
                <w:sz w:val="10"/>
                <w:szCs w:val="10"/>
              </w:rPr>
            </w:pPr>
          </w:p>
        </w:tc>
      </w:tr>
      <w:tr w:rsidR="000107B7" w:rsidRPr="00D66A74" w14:paraId="6176397F" w14:textId="77777777" w:rsidTr="003744DA">
        <w:trPr>
          <w:cantSplit/>
          <w:trHeight w:val="1112"/>
        </w:trPr>
        <w:tc>
          <w:tcPr>
            <w:tcW w:w="8789" w:type="dxa"/>
          </w:tcPr>
          <w:p w14:paraId="149CD7C9"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Name.</w:t>
            </w:r>
          </w:p>
          <w:p w14:paraId="3AC06DAD" w14:textId="6D972A96" w:rsidR="007E6AC7" w:rsidRPr="00C2765D" w:rsidRDefault="000107B7" w:rsidP="00636AB0">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Location.</w:t>
            </w:r>
          </w:p>
          <w:p w14:paraId="3B9F65EF"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Type of Emergency; and</w:t>
            </w:r>
          </w:p>
          <w:p w14:paraId="0C20CD72" w14:textId="2A05E32D" w:rsidR="000107B7" w:rsidRPr="004A6DAB" w:rsidRDefault="000107B7" w:rsidP="004A6DAB">
            <w:pPr>
              <w:tabs>
                <w:tab w:val="left" w:pos="3941"/>
              </w:tabs>
              <w:autoSpaceDE w:val="0"/>
              <w:autoSpaceDN w:val="0"/>
              <w:adjustRightInd w:val="0"/>
              <w:spacing w:line="276" w:lineRule="auto"/>
              <w:ind w:left="3600"/>
              <w:rPr>
                <w:rFonts w:cs="Calibri"/>
                <w:b/>
                <w:i/>
                <w:sz w:val="20"/>
                <w:szCs w:val="20"/>
              </w:rPr>
            </w:pPr>
            <w:r>
              <w:rPr>
                <w:rFonts w:cs="Calibri"/>
                <w:b/>
                <w:i/>
                <w:sz w:val="20"/>
                <w:szCs w:val="20"/>
              </w:rPr>
              <w:t>• Assistance Required.</w:t>
            </w:r>
          </w:p>
        </w:tc>
      </w:tr>
    </w:tbl>
    <w:p w14:paraId="3C77653D" w14:textId="537E9CA1" w:rsidR="007B539B" w:rsidRDefault="007B539B">
      <w:pPr>
        <w:pageBreakBefore/>
        <w:spacing w:before="0" w:after="0" w:line="240" w:lineRule="auto"/>
        <w:rPr>
          <w:sz w:val="2"/>
          <w:szCs w:val="2"/>
        </w:rPr>
      </w:pPr>
    </w:p>
    <w:tbl>
      <w:tblPr>
        <w:tblStyle w:val="TableGrid"/>
        <w:tblW w:w="10632" w:type="dxa"/>
        <w:tblInd w:w="-856" w:type="dxa"/>
        <w:tblLook w:val="04A0" w:firstRow="1" w:lastRow="0" w:firstColumn="1" w:lastColumn="0" w:noHBand="0" w:noVBand="1"/>
      </w:tblPr>
      <w:tblGrid>
        <w:gridCol w:w="990"/>
        <w:gridCol w:w="915"/>
        <w:gridCol w:w="111"/>
        <w:gridCol w:w="54"/>
        <w:gridCol w:w="1064"/>
        <w:gridCol w:w="734"/>
        <w:gridCol w:w="331"/>
        <w:gridCol w:w="1067"/>
        <w:gridCol w:w="637"/>
        <w:gridCol w:w="427"/>
        <w:gridCol w:w="1065"/>
        <w:gridCol w:w="474"/>
        <w:gridCol w:w="590"/>
        <w:gridCol w:w="1065"/>
        <w:gridCol w:w="1108"/>
      </w:tblGrid>
      <w:tr w:rsidR="00AA578C" w14:paraId="6D551CD8" w14:textId="77777777" w:rsidTr="00DC1D42">
        <w:trPr>
          <w:trHeight w:val="200"/>
        </w:trPr>
        <w:tc>
          <w:tcPr>
            <w:tcW w:w="10632" w:type="dxa"/>
            <w:gridSpan w:val="15"/>
            <w:shd w:val="clear" w:color="auto" w:fill="CC9900"/>
          </w:tcPr>
          <w:p w14:paraId="7A9626A2" w14:textId="7CEBFB97" w:rsidR="00AA578C" w:rsidRPr="00AA578C" w:rsidRDefault="00AA578C" w:rsidP="00111DF4">
            <w:pPr>
              <w:rPr>
                <w:b/>
                <w:bCs/>
                <w:sz w:val="20"/>
                <w:szCs w:val="20"/>
              </w:rPr>
            </w:pPr>
            <w:r>
              <w:rPr>
                <w:b/>
                <w:bCs/>
                <w:sz w:val="20"/>
                <w:szCs w:val="20"/>
              </w:rPr>
              <w:t>Part 1: Information</w:t>
            </w:r>
          </w:p>
        </w:tc>
      </w:tr>
      <w:tr w:rsidR="00AA578C" w14:paraId="5DCAC05F" w14:textId="77777777" w:rsidTr="00DC1D42">
        <w:tc>
          <w:tcPr>
            <w:tcW w:w="2016" w:type="dxa"/>
            <w:gridSpan w:val="3"/>
            <w:shd w:val="clear" w:color="auto" w:fill="F2F2F2" w:themeFill="background1" w:themeFillShade="F2"/>
          </w:tcPr>
          <w:p w14:paraId="2B75D29F" w14:textId="13881B41" w:rsidR="00AA578C" w:rsidRPr="00AA578C" w:rsidRDefault="00AA578C" w:rsidP="00111DF4">
            <w:pPr>
              <w:rPr>
                <w:b/>
                <w:bCs/>
                <w:sz w:val="20"/>
                <w:szCs w:val="20"/>
              </w:rPr>
            </w:pPr>
            <w:r>
              <w:rPr>
                <w:b/>
                <w:bCs/>
                <w:sz w:val="20"/>
                <w:szCs w:val="20"/>
              </w:rPr>
              <w:lastRenderedPageBreak/>
              <w:t>Title:</w:t>
            </w:r>
          </w:p>
        </w:tc>
        <w:tc>
          <w:tcPr>
            <w:tcW w:w="8616" w:type="dxa"/>
            <w:gridSpan w:val="12"/>
          </w:tcPr>
          <w:p w14:paraId="1FAD7E15" w14:textId="107CBE26" w:rsidR="00AA578C" w:rsidRDefault="00097C0F" w:rsidP="00111DF4">
            <w:pPr>
              <w:rPr>
                <w:sz w:val="20"/>
                <w:szCs w:val="20"/>
              </w:rPr>
            </w:pPr>
            <w:r>
              <w:rPr>
                <w:sz w:val="20"/>
                <w:szCs w:val="20"/>
              </w:rPr>
              <w:t xml:space="preserve">SWI-PRO-MET-201-003 - Leach Tank Sampling Round - 031-TK-001 Launder and Discharge</w:t>
            </w:r>
          </w:p>
        </w:tc>
      </w:tr>
      <w:tr w:rsidR="00AA578C" w14:paraId="0F7F1F77" w14:textId="77777777" w:rsidTr="00DC1D42">
        <w:tc>
          <w:tcPr>
            <w:tcW w:w="2016" w:type="dxa"/>
            <w:gridSpan w:val="3"/>
            <w:shd w:val="clear" w:color="auto" w:fill="F2F2F2" w:themeFill="background1" w:themeFillShade="F2"/>
          </w:tcPr>
          <w:p w14:paraId="4642E70F" w14:textId="7D70C0E9" w:rsidR="00AA578C" w:rsidRPr="00AA578C" w:rsidRDefault="00AA578C" w:rsidP="00111DF4">
            <w:pPr>
              <w:rPr>
                <w:b/>
                <w:bCs/>
                <w:sz w:val="20"/>
                <w:szCs w:val="20"/>
              </w:rPr>
            </w:pPr>
            <w:r>
              <w:rPr>
                <w:b/>
                <w:bCs/>
                <w:sz w:val="20"/>
                <w:szCs w:val="20"/>
              </w:rPr>
              <w:t>Issued Date:</w:t>
            </w:r>
          </w:p>
        </w:tc>
        <w:tc>
          <w:tcPr>
            <w:tcW w:w="3250" w:type="dxa"/>
            <w:gridSpan w:val="5"/>
          </w:tcPr>
          <w:p w14:paraId="0FA70F88" w14:textId="3E626513" w:rsidR="00AA578C" w:rsidRDefault="00097C0F" w:rsidP="00111DF4">
            <w:pPr>
              <w:rPr>
                <w:sz w:val="20"/>
                <w:szCs w:val="20"/>
              </w:rPr>
            </w:pPr>
            <w:r>
              <w:rPr>
                <w:sz w:val="20"/>
                <w:szCs w:val="20"/>
              </w:rPr>
              <w:t xml:space="preserve">11/08/2026</w:t>
            </w:r>
          </w:p>
        </w:tc>
        <w:tc>
          <w:tcPr>
            <w:tcW w:w="2603" w:type="dxa"/>
            <w:gridSpan w:val="4"/>
            <w:shd w:val="clear" w:color="auto" w:fill="F2F2F2" w:themeFill="background1" w:themeFillShade="F2"/>
          </w:tcPr>
          <w:p w14:paraId="170B8929" w14:textId="6E12FADA" w:rsidR="00AA578C" w:rsidRPr="00AA578C" w:rsidRDefault="00F82BE4" w:rsidP="00111DF4">
            <w:pPr>
              <w:rPr>
                <w:b/>
                <w:bCs/>
                <w:sz w:val="20"/>
                <w:szCs w:val="20"/>
              </w:rPr>
            </w:pPr>
            <w:r>
              <w:rPr>
                <w:b/>
                <w:bCs/>
                <w:sz w:val="20"/>
                <w:szCs w:val="20"/>
              </w:rPr>
              <w:t>Next Review Date:</w:t>
            </w:r>
          </w:p>
        </w:tc>
        <w:tc>
          <w:tcPr>
            <w:tcW w:w="2763" w:type="dxa"/>
            <w:gridSpan w:val="3"/>
          </w:tcPr>
          <w:p w14:paraId="30999893" w14:textId="13F25D45" w:rsidR="00AA578C" w:rsidRDefault="00097C0F" w:rsidP="00111DF4">
            <w:pPr>
              <w:rPr>
                <w:sz w:val="20"/>
                <w:szCs w:val="20"/>
              </w:rPr>
            </w:pPr>
            <w:r>
              <w:rPr>
                <w:sz w:val="20"/>
                <w:szCs w:val="20"/>
              </w:rPr>
              <w:t xml:space="preserve">11/08/2027</w:t>
            </w:r>
          </w:p>
        </w:tc>
      </w:tr>
      <w:tr w:rsidR="00AA578C" w14:paraId="6BDB8CA3" w14:textId="77777777" w:rsidTr="00DC1D42">
        <w:tc>
          <w:tcPr>
            <w:tcW w:w="2016" w:type="dxa"/>
            <w:gridSpan w:val="3"/>
            <w:shd w:val="clear" w:color="auto" w:fill="F2F2F2" w:themeFill="background1" w:themeFillShade="F2"/>
          </w:tcPr>
          <w:p w14:paraId="1AE6C677" w14:textId="2E86C2F5" w:rsidR="00AA578C" w:rsidRPr="00AA578C" w:rsidRDefault="00AA578C" w:rsidP="00111DF4">
            <w:pPr>
              <w:rPr>
                <w:b/>
                <w:bCs/>
                <w:sz w:val="20"/>
                <w:szCs w:val="20"/>
              </w:rPr>
            </w:pPr>
            <w:r>
              <w:rPr>
                <w:b/>
                <w:bCs/>
                <w:sz w:val="20"/>
                <w:szCs w:val="20"/>
              </w:rPr>
              <w:t>Document Owner:</w:t>
            </w:r>
          </w:p>
        </w:tc>
        <w:tc>
          <w:tcPr>
            <w:tcW w:w="3250" w:type="dxa"/>
            <w:gridSpan w:val="5"/>
          </w:tcPr>
          <w:p w14:paraId="2258797B" w14:textId="4D112F9C" w:rsidR="00AA578C" w:rsidRDefault="00B72BD2" w:rsidP="00111DF4">
            <w:pPr>
              <w:rPr>
                <w:sz w:val="20"/>
                <w:szCs w:val="20"/>
              </w:rPr>
            </w:pPr>
            <w:r>
              <w:rPr>
                <w:sz w:val="20"/>
                <w:szCs w:val="20"/>
              </w:rPr>
              <w:t xml:space="preserve">Processing</w:t>
            </w:r>
          </w:p>
        </w:tc>
        <w:tc>
          <w:tcPr>
            <w:tcW w:w="2603" w:type="dxa"/>
            <w:gridSpan w:val="4"/>
            <w:shd w:val="clear" w:color="auto" w:fill="F2F2F2" w:themeFill="background1" w:themeFillShade="F2"/>
          </w:tcPr>
          <w:p w14:paraId="37392AA4" w14:textId="2A29D5E0" w:rsidR="00AA578C" w:rsidRPr="00AA578C" w:rsidRDefault="00AA578C" w:rsidP="00111DF4">
            <w:pPr>
              <w:rPr>
                <w:b/>
                <w:bCs/>
                <w:sz w:val="20"/>
                <w:szCs w:val="20"/>
              </w:rPr>
            </w:pPr>
            <w:r>
              <w:rPr>
                <w:b/>
                <w:bCs/>
                <w:sz w:val="20"/>
                <w:szCs w:val="20"/>
              </w:rPr>
              <w:t>JSEA ID:</w:t>
            </w:r>
          </w:p>
        </w:tc>
        <w:tc>
          <w:tcPr>
            <w:tcW w:w="2763" w:type="dxa"/>
            <w:gridSpan w:val="3"/>
          </w:tcPr>
          <w:p w14:paraId="2725AFF2" w14:textId="26BF8665" w:rsidR="00AA578C" w:rsidRDefault="00D1626D" w:rsidP="00111DF4">
            <w:pPr>
              <w:rPr>
                <w:sz w:val="20"/>
                <w:szCs w:val="20"/>
              </w:rPr>
            </w:pPr>
            <w:r>
              <w:rPr>
                <w:sz w:val="20"/>
                <w:szCs w:val="20"/>
              </w:rPr>
              <w:t xml:space="preserve">JSEA-PRO-MET-201-003</w:t>
            </w:r>
          </w:p>
        </w:tc>
      </w:tr>
      <w:tr w:rsidR="00AA578C" w:rsidRPr="00111DF4" w14:paraId="75BE48B4" w14:textId="77777777" w:rsidTr="00DC1D42">
        <w:trPr>
          <w:trHeight w:val="275"/>
        </w:trPr>
        <w:tc>
          <w:tcPr>
            <w:tcW w:w="10632" w:type="dxa"/>
            <w:gridSpan w:val="15"/>
            <w:shd w:val="clear" w:color="auto" w:fill="CC9900"/>
          </w:tcPr>
          <w:p w14:paraId="6F1E3AAF" w14:textId="32CD6DCC" w:rsidR="00AA578C" w:rsidRDefault="00AA578C">
            <w:pPr>
              <w:rPr>
                <w:sz w:val="20"/>
                <w:szCs w:val="20"/>
              </w:rPr>
            </w:pPr>
            <w:r>
              <w:rPr>
                <w:b/>
                <w:bCs/>
                <w:sz w:val="20"/>
                <w:szCs w:val="20"/>
              </w:rPr>
              <w:t xml:space="preserve">Part 2: </w:t>
            </w:r>
          </w:p>
        </w:tc>
      </w:tr>
      <w:tr w:rsidR="00C0180D" w:rsidRPr="00111DF4" w14:paraId="6F41CFC7" w14:textId="77777777" w:rsidTr="00DC1D42">
        <w:trPr>
          <w:trHeight w:val="275"/>
        </w:trPr>
        <w:tc>
          <w:tcPr>
            <w:tcW w:w="3868" w:type="dxa"/>
            <w:gridSpan w:val="6"/>
          </w:tcPr>
          <w:p w14:paraId="02DEEC87" w14:textId="2DFC41C5" w:rsidR="00C0180D" w:rsidRPr="00111DF4" w:rsidRDefault="00C0180D">
            <w:pPr>
              <w:rPr>
                <w:b/>
                <w:bCs/>
                <w:sz w:val="20"/>
                <w:szCs w:val="20"/>
              </w:rPr>
            </w:pPr>
            <w:r>
              <w:rPr>
                <w:b/>
                <w:bCs/>
                <w:sz w:val="20"/>
                <w:szCs w:val="20"/>
              </w:rPr>
              <w:t xml:space="preserve">Description of work:</w:t>
            </w:r>
          </w:p>
        </w:tc>
        <w:tc>
          <w:tcPr>
            <w:tcW w:w="6764" w:type="dxa"/>
            <w:gridSpan w:val="9"/>
          </w:tcPr>
          <w:p w14:paraId="2578DD76" w14:textId="77777777" w:rsidR="00294C35" w:rsidRPr="00294C35" w:rsidRDefault="00294C35" w:rsidP="00294C35">
            <w:pPr>
              <w:rPr>
                <w:sz w:val="20"/>
                <w:szCs w:val="20"/>
              </w:rPr>
            </w:pPr>
            <w:r>
              <w:rPr>
                <w:sz w:val="20"/>
                <w:szCs w:val="20"/>
              </w:rPr>
              <w:t xml:space="preserve">Set leach feed pH, dissolved oxygen, free and WAD cyanide, solids percentage and solution and solid assay.</w:t>
            </w:r>
          </w:p>
          <w:p w14:paraId="2578DD76" w14:textId="77777777" w:rsidR="00294C35" w:rsidRPr="00294C35" w:rsidRDefault="00294C35" w:rsidP="00294C35">
            <w:pPr>
              <w:rPr>
                <w:sz w:val="20"/>
                <w:szCs w:val="20"/>
              </w:rPr>
            </w:pPr>
            <w:r>
              <w:rPr>
                <w:sz w:val="20"/>
                <w:szCs w:val="20"/>
              </w:rPr>
              <w:t xml:space="preserve">Dissolved oxygen in the leach feed is a critical process parameter - low DO points to insufficient oxygen supplementation and directly reduces gold dissolution.</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Area: 031 Leaching.</w:t>
            </w:r>
          </w:p>
          <w:p w14:paraId="2578DD76" w14:textId="77777777" w:rsidR="00294C35" w:rsidRPr="00294C35" w:rsidRDefault="00294C35" w:rsidP="00294C35">
            <w:pPr>
              <w:rPr>
                <w:sz w:val="20"/>
                <w:szCs w:val="20"/>
              </w:rPr>
            </w:pPr>
            <w:r>
              <w:rPr>
                <w:sz w:val="20"/>
                <w:szCs w:val="20"/>
              </w:rPr>
              <w:t xml:space="preserve">Points and equipment covered:</w:t>
            </w:r>
          </w:p>
          <w:p w14:paraId="2578DD76" w14:textId="77777777" w:rsidR="00294C35" w:rsidRPr="00294C35" w:rsidRDefault="00294C35" w:rsidP="00294C35">
            <w:pPr>
              <w:rPr>
                <w:sz w:val="20"/>
                <w:szCs w:val="20"/>
              </w:rPr>
            </w:pPr>
            <w:r>
              <w:rPr>
                <w:sz w:val="20"/>
                <w:szCs w:val="20"/>
              </w:rPr>
              <w:t xml:space="preserve">031-TK-001 - Leach tank, launder and discharge</w:t>
            </w:r>
          </w:p>
          <w:p w14:paraId="2578DD76" w14:textId="77777777" w:rsidR="00294C35" w:rsidRPr="00294C35" w:rsidRDefault="00294C35" w:rsidP="00294C35">
            <w:pPr>
              <w:rPr>
                <w:sz w:val="20"/>
                <w:szCs w:val="20"/>
              </w:rPr>
            </w:pPr>
            <w:r>
              <w:rPr>
                <w:sz w:val="20"/>
                <w:szCs w:val="20"/>
              </w:rPr>
              <w:t xml:space="preserve">031-PP-166 - Leach feed sampling pump</w:t>
            </w:r>
          </w:p>
          <w:p w14:paraId="2578DD76" w14:textId="77777777" w:rsidR="00294C35" w:rsidRPr="00294C35" w:rsidRDefault="00294C35" w:rsidP="00294C35">
            <w:pPr>
              <w:rPr>
                <w:sz w:val="20"/>
                <w:szCs w:val="20"/>
              </w:rPr>
            </w:pPr>
            <w:r>
              <w:rPr>
                <w:sz w:val="20"/>
                <w:szCs w:val="20"/>
              </w:rPr>
              <w:t xml:space="preserve">031-SC-002 - Screen in the leach circuit</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Frequency: Hourly spot sample, composited to four 12-litre composites per shift.</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This instruction sits under Standard Work Procedure HM-PRC-VXX-PRO205 - Plant Sampling and Metallurgical Data Collection. Read that procedure before carrying out this task for the first time.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Register line: SWI-PRO-MET-201-003 in HM-MMM-WHS-REG-XXX-R00-SWI-SWMS, tab SWI-MET. The matching hazard analysis is JSEA-PRO-MET-201-003.</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This is a safety-critical task. It is not carried out alone in a cyanide area, and not without the Shift Supervisor knowing it is in progress.</w:t>
            </w:r>
          </w:p>
        </w:tc>
      </w:tr>
      <w:tr w:rsidR="006A5BC5" w:rsidRPr="00111DF4" w14:paraId="5D2CCC97" w14:textId="77777777" w:rsidTr="00DC1D42">
        <w:trPr>
          <w:trHeight w:val="269"/>
        </w:trPr>
        <w:tc>
          <w:tcPr>
            <w:tcW w:w="3868" w:type="dxa"/>
            <w:gridSpan w:val="6"/>
            <w:tcBorders>
              <w:bottom w:val="single" w:sz="4" w:space="0" w:color="auto"/>
            </w:tcBorders>
          </w:tcPr>
          <w:p w14:paraId="09F2E9FF" w14:textId="1B1638B6" w:rsidR="006A5BC5" w:rsidRPr="00111DF4" w:rsidRDefault="00111DF4">
            <w:pPr>
              <w:rPr>
                <w:b/>
                <w:bCs/>
                <w:sz w:val="20"/>
                <w:szCs w:val="20"/>
              </w:rPr>
            </w:pPr>
            <w:r>
              <w:rPr>
                <w:b/>
                <w:bCs/>
                <w:sz w:val="20"/>
                <w:szCs w:val="20"/>
              </w:rPr>
              <w:t>Potential Hazards:</w:t>
            </w:r>
          </w:p>
        </w:tc>
        <w:tc>
          <w:tcPr>
            <w:tcW w:w="6764" w:type="dxa"/>
            <w:gridSpan w:val="9"/>
            <w:tcBorders>
              <w:bottom w:val="single" w:sz="4" w:space="0" w:color="auto"/>
            </w:tcBorders>
          </w:tcPr>
          <w:p w14:paraId="5E51407A" w14:textId="67D23B88" w:rsidR="00C74C5C" w:rsidRPr="00C74C5C" w:rsidRDefault="00C74C5C" w:rsidP="00C74C5C">
            <w:pPr>
              <w:rPr>
                <w:sz w:val="20"/>
                <w:szCs w:val="20"/>
              </w:rPr>
            </w:pPr>
            <w:r>
              <w:rPr>
                <w:sz w:val="20"/>
                <w:szCs w:val="20"/>
              </w:rPr>
              <w:t xml:space="preserve">Hydrogen cyanide gas released at the open sample point — 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Splash of cyanide-bearing slurry or solution to skin or eyes — 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Fall from a tank top, launder platform, column platform or access ladder — Fixed platforms, stairways and handrails used in preference to any other access. Harness and fall arrest where no fixed platform exists. Three points of contact on ladders. No sampling at height alone. Sample containers carried in a bag or hoisted, not in the hand on a ladder.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an agitator, sample cutter, pump or screen that starts without warning — Much of the plant is automated and equipment can start or stop without warning. Guards confirmed in place before approaching. Control room notified before the round starts and again on completion. Isolation and lock-out before any guard or cutter housing is opened.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Slip, trip or fall on wet or slurry-covered walkways around sample points — Spillage cleaned up immediately and the point left clean. Walkways kept clear of hoses, buckets and containers. Safety boots with sound tread. Report any damaged or missing grating before use.</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Manual handling injury from carrying sample buckets, containers and composite drums — Sample volume kept to the schedule - no over-filling. Two-person lift or a trolley for composite containers above the site manual handling limit. Route cleared before lifting.</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Working alone in a cyanide area where a collapse would not be seen — Cyanide-area sampling is not done alone. Control room notified at the start and end of every round. Radio check-in at the interval set by the Shift Supervisor.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Non-representative sample leading to a wrong process decision — 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Cross-contamination from a container or cutter not cleaned between points — Bucket, container, cutter and sieve rinsed with process water and then with the stream being sampled, and the rinse discarded, before every sample. Dedicated containers for high-grade streams. Labels checked against the schedule before handover.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Confined space atmosphere at a tank top hatch, launder or hopper opening — No entry. Sampling is done from outside the opening only. Confined space entry, if it is ever needed for a sample point, requires a permit, atmosphere testing, isolation, a standby person and a rescue plan under the site confined space procedure.</w:t>
            </w:r>
          </w:p>
          <w:p w14:paraId="5E51407A" w14:textId="67D23B88" w:rsidR="00C74C5C" w:rsidRPr="00C74C5C" w:rsidRDefault="00C74C5C" w:rsidP="00C74C5C">
            <w:pPr>
              <w:rPr>
                <w:sz w:val="20"/>
                <w:szCs w:val="20"/>
              </w:rPr>
            </w:pPr>
          </w:p>
          <w:p w14:paraId="0185CDF8" w14:textId="77777777" w:rsidR="00A9336A" w:rsidRDefault="007B0539" w:rsidP="00C74C5C">
            <w:pPr>
              <w:rPr>
                <w:i/>
                <w:iCs/>
                <w:sz w:val="20"/>
                <w:szCs w:val="20"/>
              </w:rPr>
            </w:pPr>
            <w:r>
              <w:rPr>
                <w:i/>
                <w:iCs/>
                <w:sz w:val="20"/>
                <w:szCs w:val="20"/>
              </w:rPr>
              <w:t xml:space="preserve">The full step-by-step hazard analysis, with the risk ranking, is in JSEA-PRO-MET-201-003 Section 4.</w:t>
            </w:r>
          </w:p>
        </w:tc>
      </w:tr>
      <w:tr w:rsidR="006A5BC5" w:rsidRPr="00111DF4" w14:paraId="2FBFD448" w14:textId="77777777" w:rsidTr="00DC1D42">
        <w:trPr>
          <w:cantSplit/>
        </w:trPr>
        <w:tc>
          <w:tcPr>
            <w:tcW w:w="10632" w:type="dxa"/>
            <w:gridSpan w:val="15"/>
            <w:shd w:val="clear" w:color="auto" w:fill="CC9900"/>
          </w:tcPr>
          <w:p w14:paraId="64E13BCB" w14:textId="7F65DB95" w:rsidR="006A5BC5" w:rsidRPr="00111DF4" w:rsidRDefault="006A5BC5" w:rsidP="006A5BC5">
            <w:pPr>
              <w:keepNext/>
              <w:ind w:left="-826"/>
              <w:jc w:val="center"/>
              <w:rPr>
                <w:b/>
                <w:bCs/>
                <w:sz w:val="20"/>
                <w:szCs w:val="20"/>
              </w:rPr>
            </w:pPr>
            <w:r>
              <w:rPr>
                <w:b/>
                <w:bCs/>
                <w:sz w:val="20"/>
                <w:szCs w:val="20"/>
              </w:rPr>
              <w:t>PERSONAL PROTECTIVE EQUIPMENT (PPE):</w:t>
            </w:r>
          </w:p>
        </w:tc>
      </w:tr>
      <w:tr w:rsidR="00111DF4" w:rsidRPr="00111DF4" w14:paraId="6BB4CC3C" w14:textId="77777777" w:rsidTr="00DC1D42">
        <w:trPr>
          <w:cantSplit/>
          <w:trHeight w:val="1170"/>
        </w:trPr>
        <w:tc>
          <w:tcPr>
            <w:tcW w:w="990" w:type="dxa"/>
          </w:tcPr>
          <w:p w14:paraId="6D3F9975" w14:textId="5EDA0556" w:rsidR="006A5BC5" w:rsidRPr="00111DF4" w:rsidRDefault="006A5BC5" w:rsidP="006A5BC5">
            <w:pPr>
              <w:keepNext/>
              <w:jc w:val="center"/>
              <w:rPr>
                <w:sz w:val="20"/>
                <w:szCs w:val="20"/>
              </w:rPr>
            </w:pPr>
            <w:r>
              <w:rPr>
                <w:noProof/>
                <w:sz w:val="20"/>
                <w:szCs w:val="20"/>
                <w:lang w:eastAsia="en-AU"/>
              </w:rPr>
              <w:drawing>
                <wp:anchor distT="0" distB="0" distL="114300" distR="114300" simplePos="0" relativeHeight="251658240" behindDoc="1" locked="0" layoutInCell="1" allowOverlap="1" wp14:anchorId="6D0B950C" wp14:editId="6B1377DC">
                  <wp:simplePos x="0" y="0"/>
                  <wp:positionH relativeFrom="column">
                    <wp:posOffset>7620</wp:posOffset>
                  </wp:positionH>
                  <wp:positionV relativeFrom="paragraph">
                    <wp:posOffset>146998</wp:posOffset>
                  </wp:positionV>
                  <wp:extent cx="468000" cy="444984"/>
                  <wp:effectExtent l="0" t="0" r="8255" b="0"/>
                  <wp:wrapTight wrapText="bothSides">
                    <wp:wrapPolygon edited="0">
                      <wp:start x="0" y="0"/>
                      <wp:lineTo x="0" y="20366"/>
                      <wp:lineTo x="21102" y="20366"/>
                      <wp:lineTo x="2110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000" cy="444984"/>
                          </a:xfrm>
                          <a:prstGeom prst="rect">
                            <a:avLst/>
                          </a:prstGeom>
                        </pic:spPr>
                      </pic:pic>
                    </a:graphicData>
                  </a:graphic>
                </wp:anchor>
              </w:drawing>
            </w:r>
          </w:p>
        </w:tc>
        <w:tc>
          <w:tcPr>
            <w:tcW w:w="1080" w:type="dxa"/>
            <w:gridSpan w:val="3"/>
          </w:tcPr>
          <w:p w14:paraId="3BEF0C66" w14:textId="45BC2865"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1" behindDoc="1" locked="0" layoutInCell="1" allowOverlap="1" wp14:anchorId="5E667E76" wp14:editId="664F9DD9">
                  <wp:simplePos x="0" y="0"/>
                  <wp:positionH relativeFrom="column">
                    <wp:posOffset>34290</wp:posOffset>
                  </wp:positionH>
                  <wp:positionV relativeFrom="paragraph">
                    <wp:posOffset>131132</wp:posOffset>
                  </wp:positionV>
                  <wp:extent cx="468000" cy="468000"/>
                  <wp:effectExtent l="0" t="0" r="8255" b="8255"/>
                  <wp:wrapTight wrapText="bothSides">
                    <wp:wrapPolygon edited="0">
                      <wp:start x="0" y="0"/>
                      <wp:lineTo x="0" y="21102"/>
                      <wp:lineTo x="21102" y="21102"/>
                      <wp:lineTo x="21102" y="0"/>
                      <wp:lineTo x="0" y="0"/>
                    </wp:wrapPolygon>
                  </wp:wrapTight>
                  <wp:docPr id="4" name="Picture 4" descr="F:\MITCHELL WATER\02 - DM Mitchell\6 - OHS\06 - Pre-Start Meetings\03 - Pre-Start Symbols\PPE Symbols Glov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MITCHELL WATER\02 - DM Mitchell\6 - OHS\06 - Pre-Start Meetings\03 - Pre-Start Symbols\PPE Symbols Glove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tcPr>
          <w:p w14:paraId="5CBB784C" w14:textId="3EAA1A86"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2" behindDoc="1" locked="0" layoutInCell="1" allowOverlap="1" wp14:anchorId="1EC869AA" wp14:editId="252EEAC6">
                  <wp:simplePos x="0" y="0"/>
                  <wp:positionH relativeFrom="column">
                    <wp:posOffset>38735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5" name="Picture 5" descr="F:\MITCHELL WATER\02 - DM Mitchell\6 - OHS\06 - Pre-Start Meetings\03 - Pre-Start Symbols\PPE Symbols Hard H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F:\MITCHELL WATER\02 - DM Mitchell\6 - OHS\06 - Pre-Start Meetings\03 - Pre-Start Symbols\PPE Symbols Hard Hat.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gridSpan w:val="2"/>
          </w:tcPr>
          <w:p w14:paraId="1F02F43F" w14:textId="3A091EAB"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3" behindDoc="1" locked="0" layoutInCell="1" allowOverlap="1" wp14:anchorId="0AEA61D6" wp14:editId="60F51379">
                  <wp:simplePos x="0" y="0"/>
                  <wp:positionH relativeFrom="column">
                    <wp:posOffset>45085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6" name="Picture 6" descr="F:\MITCHELL WATER\02 - DM Mitchell\6 - OHS\06 - Pre-Start Meetings\03 - Pre-Start Symbols\PPE Symbols Hearing Pro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F:\MITCHELL WATER\02 - DM Mitchell\6 - OHS\06 - Pre-Start Meetings\03 - Pre-Start Symbols\PPE Symbols Hearing Protection.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7" w:type="dxa"/>
          </w:tcPr>
          <w:p w14:paraId="4F60D94C" w14:textId="64F01B67"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4" behindDoc="1" locked="0" layoutInCell="1" allowOverlap="1" wp14:anchorId="6A58357A" wp14:editId="16AF33CC">
                  <wp:simplePos x="0" y="0"/>
                  <wp:positionH relativeFrom="column">
                    <wp:posOffset>36830</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7" name="Picture 7" descr="F:\MITCHELL WATER\02 - DM Mitchell\6 - OHS\06 - Pre-Start Meetings\03 - Pre-Start Symbols\PPE Symbols Hi-Vis V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F:\MITCHELL WATER\02 - DM Mitchell\6 - OHS\06 - Pre-Start Meetings\03 - Pre-Start Symbols\PPE Symbols Hi-Vis Ves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gridSpan w:val="2"/>
          </w:tcPr>
          <w:p w14:paraId="517D0C3B" w14:textId="78D01AF3"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5" behindDoc="1" locked="0" layoutInCell="1" allowOverlap="1" wp14:anchorId="62A6D3DC" wp14:editId="095A8CD0">
                  <wp:simplePos x="0" y="0"/>
                  <wp:positionH relativeFrom="column">
                    <wp:posOffset>41275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8" name="Picture 8" descr="F:\MITCHELL WATER\02 - DM Mitchell\6 - OHS\06 - Pre-Start Meetings\03 - Pre-Start Symbols\PPE Symbols Dust Mas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F:\MITCHELL WATER\02 - DM Mitchell\6 - OHS\06 - Pre-Start Meetings\03 - Pre-Start Symbols\PPE Symbols Dust Mask.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454B022F" w14:textId="22C16B6E"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6" behindDoc="1" locked="0" layoutInCell="1" allowOverlap="1" wp14:anchorId="71431D45" wp14:editId="095A5FA2">
                  <wp:simplePos x="0" y="0"/>
                  <wp:positionH relativeFrom="column">
                    <wp:posOffset>34290</wp:posOffset>
                  </wp:positionH>
                  <wp:positionV relativeFrom="paragraph">
                    <wp:posOffset>146998</wp:posOffset>
                  </wp:positionV>
                  <wp:extent cx="468000" cy="458685"/>
                  <wp:effectExtent l="0" t="0" r="8255" b="0"/>
                  <wp:wrapTight wrapText="bothSides">
                    <wp:wrapPolygon edited="0">
                      <wp:start x="0" y="0"/>
                      <wp:lineTo x="0" y="20643"/>
                      <wp:lineTo x="21102" y="20643"/>
                      <wp:lineTo x="21102" y="0"/>
                      <wp:lineTo x="0" y="0"/>
                    </wp:wrapPolygon>
                  </wp:wrapTight>
                  <wp:docPr id="9" name="Picture 9" descr="F:\MITCHELL WATER\02 - DM Mitchell\6 - OHS\06 - Pre-Start Meetings\03 - Pre-Start Symbols\PPE Symbols Fall Restrai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F:\MITCHELL WATER\02 - DM Mitchell\6 - OHS\06 - Pre-Start Meetings\03 - Pre-Start Symbols\PPE Symbols Fall Restraint.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 cy="458685"/>
                          </a:xfrm>
                          <a:prstGeom prst="rect">
                            <a:avLst/>
                          </a:prstGeom>
                          <a:noFill/>
                          <a:ln>
                            <a:noFill/>
                          </a:ln>
                        </pic:spPr>
                      </pic:pic>
                    </a:graphicData>
                  </a:graphic>
                </wp:anchor>
              </w:drawing>
            </w:r>
          </w:p>
        </w:tc>
        <w:tc>
          <w:tcPr>
            <w:tcW w:w="1064" w:type="dxa"/>
            <w:gridSpan w:val="2"/>
          </w:tcPr>
          <w:p w14:paraId="699F9B3D" w14:textId="1CF15B69"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7" behindDoc="1" locked="0" layoutInCell="1" allowOverlap="1" wp14:anchorId="724C94CC" wp14:editId="72004D14">
                  <wp:simplePos x="0" y="0"/>
                  <wp:positionH relativeFrom="column">
                    <wp:posOffset>40005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10" name="Picture 10" descr="F:\MITCHELL WATER\02 - DM Mitchell\6 - OHS\06 - Pre-Start Meetings\03 - Pre-Start Symbols\PPE Symbols Lock Out-Tag O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F:\MITCHELL WATER\02 - DM Mitchell\6 - OHS\06 - Pre-Start Meetings\03 - Pre-Start Symbols\PPE Symbols Lock Out-Tag Out.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2B136F05" w14:textId="14C0E7E2"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8" behindDoc="1" locked="0" layoutInCell="1" allowOverlap="1" wp14:anchorId="478C9514" wp14:editId="72BA5954">
                  <wp:simplePos x="0" y="0"/>
                  <wp:positionH relativeFrom="column">
                    <wp:posOffset>33020</wp:posOffset>
                  </wp:positionH>
                  <wp:positionV relativeFrom="paragraph">
                    <wp:posOffset>133663</wp:posOffset>
                  </wp:positionV>
                  <wp:extent cx="467833" cy="467833"/>
                  <wp:effectExtent l="0" t="0" r="8890" b="8890"/>
                  <wp:wrapTight wrapText="bothSides">
                    <wp:wrapPolygon edited="0">
                      <wp:start x="0" y="0"/>
                      <wp:lineTo x="0" y="21130"/>
                      <wp:lineTo x="21130" y="21130"/>
                      <wp:lineTo x="21130" y="0"/>
                      <wp:lineTo x="0" y="0"/>
                    </wp:wrapPolygon>
                  </wp:wrapTight>
                  <wp:docPr id="11" name="Picture 11" descr="F:\MITCHELL WATER\02 - DM Mitchell\6 - OHS\06 - Pre-Start Meetings\03 - Pre-Start Symbols\PPE Symbols Personal Hygie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F:\MITCHELL WATER\02 - DM Mitchell\6 - OHS\06 - Pre-Start Meetings\03 - Pre-Start Symbols\PPE Symbols Personal Hygiene.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7833" cy="467833"/>
                          </a:xfrm>
                          <a:prstGeom prst="rect">
                            <a:avLst/>
                          </a:prstGeom>
                          <a:noFill/>
                          <a:ln>
                            <a:noFill/>
                          </a:ln>
                        </pic:spPr>
                      </pic:pic>
                    </a:graphicData>
                  </a:graphic>
                </wp:anchor>
              </w:drawing>
            </w:r>
          </w:p>
        </w:tc>
        <w:tc>
          <w:tcPr>
            <w:tcW w:w="1108" w:type="dxa"/>
          </w:tcPr>
          <w:p w14:paraId="2396CFF6" w14:textId="002A1D11"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9" behindDoc="1" locked="0" layoutInCell="1" allowOverlap="1" wp14:anchorId="6AA9C0DB" wp14:editId="2EAE2146">
                  <wp:simplePos x="0" y="0"/>
                  <wp:positionH relativeFrom="column">
                    <wp:posOffset>38735</wp:posOffset>
                  </wp:positionH>
                  <wp:positionV relativeFrom="paragraph">
                    <wp:posOffset>146998</wp:posOffset>
                  </wp:positionV>
                  <wp:extent cx="468000" cy="468000"/>
                  <wp:effectExtent l="0" t="0" r="8255" b="8255"/>
                  <wp:wrapTight wrapText="bothSides">
                    <wp:wrapPolygon edited="0">
                      <wp:start x="0" y="0"/>
                      <wp:lineTo x="0" y="21102"/>
                      <wp:lineTo x="21102" y="21102"/>
                      <wp:lineTo x="21102" y="0"/>
                      <wp:lineTo x="0" y="0"/>
                    </wp:wrapPolygon>
                  </wp:wrapTight>
                  <wp:docPr id="12" name="Picture 12" descr="F:\MITCHELL WATER\02 - DM Mitchell\6 - OHS\06 - Pre-Start Meetings\03 - Pre-Start Symbols\PPE Symbols Full Face Shield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F:\MITCHELL WATER\02 - DM Mitchell\6 - OHS\06 - Pre-Start Meetings\03 - Pre-Start Symbols\PPE Symbols Full Face Shield .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r>
      <w:tr w:rsidR="003622E8" w:rsidRPr="00111DF4" w14:paraId="6C8A1D4A" w14:textId="77777777" w:rsidTr="00DC1D42">
        <w:trPr>
          <w:cantSplit/>
        </w:trPr>
        <w:tc>
          <w:tcPr>
            <w:tcW w:w="10632" w:type="dxa"/>
            <w:gridSpan w:val="15"/>
            <w:shd w:val="clear" w:color="auto" w:fill="CC9900"/>
          </w:tcPr>
          <w:p w14:paraId="7F5EA26D" w14:textId="5F0AA396" w:rsidR="00111DF4" w:rsidRPr="00F14672" w:rsidRDefault="00AA578C">
            <w:pPr>
              <w:keepNext/>
              <w:rPr>
                <w:b/>
                <w:bCs/>
                <w:sz w:val="20"/>
                <w:szCs w:val="20"/>
              </w:rPr>
            </w:pPr>
            <w:r>
              <w:rPr>
                <w:b/>
                <w:bCs/>
                <w:sz w:val="20"/>
                <w:szCs w:val="20"/>
              </w:rPr>
              <w:lastRenderedPageBreak/>
              <w:t xml:space="preserve">Part 3: Safe Work Instruction Steps</w:t>
            </w:r>
          </w:p>
        </w:tc>
      </w:tr>
      <w:tr w:rsidR="0007340F" w:rsidRPr="00111DF4" w14:paraId="77976DCF" w14:textId="77777777" w:rsidTr="00DC1D42">
        <w:trPr>
          <w:cantSplit/>
          <w:trHeight w:val="840"/>
        </w:trPr>
        <w:tc>
          <w:tcPr>
            <w:tcW w:w="1905" w:type="dxa"/>
            <w:gridSpan w:val="2"/>
            <w:shd w:val="clear" w:color="auto" w:fill="F2F2F2" w:themeFill="background1" w:themeFillShade="F2"/>
          </w:tcPr>
          <w:p w14:paraId="39B822FB" w14:textId="77777777" w:rsidR="00111DF4" w:rsidRPr="00F14672" w:rsidRDefault="00111DF4" w:rsidP="00111DF4">
            <w:pPr>
              <w:keepNext/>
              <w:jc w:val="center"/>
              <w:rPr>
                <w:i/>
                <w:iCs/>
                <w:sz w:val="20"/>
                <w:szCs w:val="20"/>
              </w:rPr>
            </w:pPr>
            <w:r>
              <w:rPr>
                <w:i/>
                <w:iCs/>
                <w:sz w:val="20"/>
                <w:szCs w:val="20"/>
              </w:rPr>
              <w:t>Job Number</w:t>
            </w:r>
          </w:p>
          <w:p w14:paraId="19B147C1" w14:textId="77777777" w:rsidR="00111DF4" w:rsidRPr="00F14672" w:rsidRDefault="00111DF4" w:rsidP="00111DF4">
            <w:pPr>
              <w:keepNext/>
              <w:jc w:val="center"/>
              <w:rPr>
                <w:i/>
                <w:iCs/>
                <w:sz w:val="20"/>
                <w:szCs w:val="20"/>
              </w:rPr>
            </w:pPr>
          </w:p>
          <w:p w14:paraId="09929D17" w14:textId="262E90DD" w:rsidR="00111DF4" w:rsidRPr="00F14672" w:rsidRDefault="00111DF4" w:rsidP="00111DF4">
            <w:pPr>
              <w:keepNext/>
              <w:jc w:val="center"/>
              <w:rPr>
                <w:i/>
                <w:iCs/>
                <w:sz w:val="20"/>
                <w:szCs w:val="20"/>
              </w:rPr>
            </w:pPr>
            <w:r>
              <w:rPr>
                <w:i/>
                <w:iCs/>
                <w:sz w:val="20"/>
                <w:szCs w:val="20"/>
              </w:rPr>
              <w:t>(Hazards/Cautions)</w:t>
            </w:r>
          </w:p>
        </w:tc>
        <w:tc>
          <w:tcPr>
            <w:tcW w:w="3998" w:type="dxa"/>
            <w:gridSpan w:val="7"/>
            <w:shd w:val="clear" w:color="auto" w:fill="F2F2F2" w:themeFill="background1" w:themeFillShade="F2"/>
          </w:tcPr>
          <w:p w14:paraId="2A1750B6" w14:textId="33C78207" w:rsidR="00111DF4" w:rsidRPr="00F14672" w:rsidRDefault="00111DF4" w:rsidP="00111DF4">
            <w:pPr>
              <w:keepNext/>
              <w:jc w:val="center"/>
              <w:rPr>
                <w:i/>
                <w:iCs/>
                <w:sz w:val="20"/>
                <w:szCs w:val="20"/>
              </w:rPr>
            </w:pPr>
            <w:r>
              <w:rPr>
                <w:i/>
                <w:iCs/>
                <w:sz w:val="20"/>
                <w:szCs w:val="20"/>
              </w:rPr>
              <w:t>Application Method</w:t>
            </w:r>
          </w:p>
          <w:p w14:paraId="1B9156FA" w14:textId="77777777" w:rsidR="00111DF4" w:rsidRPr="00F14672" w:rsidRDefault="00111DF4" w:rsidP="00111DF4">
            <w:pPr>
              <w:keepNext/>
              <w:jc w:val="center"/>
              <w:rPr>
                <w:i/>
                <w:iCs/>
                <w:sz w:val="20"/>
                <w:szCs w:val="20"/>
              </w:rPr>
            </w:pPr>
          </w:p>
          <w:p w14:paraId="58A142E9" w14:textId="77777777" w:rsidR="00111DF4" w:rsidRPr="00F14672" w:rsidRDefault="00111DF4" w:rsidP="00111DF4">
            <w:pPr>
              <w:keepNext/>
              <w:jc w:val="center"/>
              <w:rPr>
                <w:i/>
                <w:iCs/>
                <w:sz w:val="20"/>
                <w:szCs w:val="20"/>
              </w:rPr>
            </w:pPr>
          </w:p>
        </w:tc>
        <w:tc>
          <w:tcPr>
            <w:tcW w:w="4729" w:type="dxa"/>
            <w:gridSpan w:val="6"/>
            <w:shd w:val="clear" w:color="auto" w:fill="F2F2F2" w:themeFill="background1" w:themeFillShade="F2"/>
          </w:tcPr>
          <w:p w14:paraId="3D90D064" w14:textId="68D037FA" w:rsidR="00111DF4" w:rsidRPr="00F14672" w:rsidRDefault="00111DF4" w:rsidP="00111DF4">
            <w:pPr>
              <w:keepNext/>
              <w:jc w:val="center"/>
              <w:rPr>
                <w:i/>
                <w:iCs/>
                <w:sz w:val="20"/>
                <w:szCs w:val="20"/>
              </w:rPr>
            </w:pPr>
            <w:r>
              <w:rPr>
                <w:i/>
                <w:iCs/>
                <w:sz w:val="20"/>
                <w:szCs w:val="20"/>
              </w:rPr>
              <w:t>Visual Reference</w:t>
            </w:r>
          </w:p>
        </w:tc>
      </w:tr>
      <w:tr w:rsidR="000A010B" w:rsidRPr="00111DF4" w14:paraId="2B8BCE09" w14:textId="77777777" w:rsidTr="00DC1D42">
        <w:trPr>
          <w:trHeight w:val="2932"/>
        </w:trPr>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Pre-start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Working alone in a cyanide area</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Gas monitor or fixed detection not healthy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Safety shower or eyewash not proven flowing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Pump line flow not normal</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you are trained and signed off against this SWI, signed on to JSEA-PRO-MET-201-003 at a communication session, site inducted with current cyanide awareness and gas detection competency where the area requires it, and authorised by the Shift Supervisor.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a second person is in the area. Cyanide-area sampling is not done alone.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Verify flow on the leach tank sampling pump line is normal - no surging and no blockage.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plant is in steady-state operation - normal operation for a minimum of 15 to 20 minutes before sampling. A sample taken during a swing is not representative.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or DCS operator that the sampling round is starting, and which points it covers.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personal gas monitor is on, in calibration date and reading clean, and that fixed detection in the area is healthy.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safety shower and eyewash nearest the point are within reach and proven flowing.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Label every container BEFORE sampling - point, date, time and shift.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Rinse the container, cutter or sieve with process water and then with the stream being sampled. Discard the rinse.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0C79BB02" w14:textId="77777777" w:rsidR="000A010B" w:rsidRDefault="000A010B" w:rsidP="000A010B">
            <w:pPr>
              <w:rPr>
                <w:rFonts w:eastAsia="Times New Roman" w:cs="Times New Roman"/>
                <w:b/>
                <w:bCs/>
                <w:i/>
                <w:iCs/>
                <w:kern w:val="0"/>
                <w:sz w:val="16"/>
                <w:szCs w:val="16"/>
                <w:lang w:val="en-AU" w:eastAsia="en-AU"/>
                <w14:ligatures w14:val="none"/>
              </w:rPr>
            </w:pPr>
            <w:r>
              <w:rPr>
                <w:rFonts w:eastAsia="Times New Roman" w:cs="Times New Roman"/>
                <w:b/>
                <w:bCs/>
                <w:i/>
                <w:iCs/>
                <w:kern w:val="0"/>
                <w:sz w:val="16"/>
                <w:szCs w:val="16"/>
                <w:lang w:val="en-AU" w:eastAsia="en-AU"/>
                <w14:ligatures w14:val="none"/>
              </w:rPr>
              <w:t xml:space="preserve">Equipment Required :</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Sampling bucket 5 to 8 L</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Marcy scale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pH meter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DO meter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Free cyanide titration kit - standardised AgNO3</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Rhodanine indicator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Burette 50 mL</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Pipette 10 or 25 mL</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Conical flask 250 mL</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Burette stand and clamp</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Wash bottle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Bottles 250 and 500 mL</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Filter press and filter paper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Spatula</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Distilled water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protective equipment as listed in PPE Requirements</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Sample Collection</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HCN released at the open sample point</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Fall from the tank top or access ladder</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Confined space atmosphere at the tank top hatch or launder</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Equipment starting without warning</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Start the leach feed sampling pump 031-PP-166.</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Allow the first 5 to 10 seconds of flow to discharge to drain as a line flush.</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Collect a minimum of 4 litres of slurry into the sampling bucket.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Stop the leach feed sampling pump 031-PP-166.</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Stir the sample thoroughly with the spatula to homogenise it before splitting into two containers.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Sample from outside the opening only. Do not enter a tank top hatch, launder or hopper opening. Carry sample containers in a bag or hoist them, not in the hand on a ladder.</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pH and Dissolved Oxygen</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Dissolved oxygen reading changed by air exposure</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Meter out of calibration - wrong pH</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Determine pH. Calibrate once per shift against pH 4, 7 and 10 buffers, rinse and dry the electrode, and immerse fully.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Wait about 30 seconds for a stable reading. Record the value and temperature.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Determine dissolved oxygen IMMEDIATELY after collection to prevent atmospheric exchange.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Rinse the DO probe. Do not wipe the membrane hard. Immerse the probe and keep a gentle flow across the membrane.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Wait 30 to 60 seconds. Record the value and temperature.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Delay between collection and the DO reading lets atmospheric oxygen change the result.</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Filtration and Free Cyanide Sample</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Cyanide volatilising from the filtrate</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Splash of cyanide-bearing filtrate</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Bottles mislabelled</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Filter about 2000 mL through the filter press to obtain a clear filtrate.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Collect the filtrate into three labelled bottles - CN Free manual, CN Free Lab, WAD CN Lab.</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Titrate the CN Free manual filtrate straight after filtration to minimise cyanide volatilisation.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Per Cent Solids and Assay Samples</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Scale not zeroed - wrong per cent solids</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Assay sample not submitted with the cake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Determine per cent solids on the Marcy scale.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Filter 1 litre for solution and solid assay.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Dry the cake and submit both the solution and the cake to the laboratory.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Free Cyanide Titration - Silver Nitrate Method</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20"/>
              </w:numPr>
              <w:rPr>
                <w:sz w:val="16"/>
                <w:szCs w:val="16"/>
                <w:lang w:val="en-AU"/>
              </w:rPr>
            </w:pPr>
            <w:r>
              <w:rPr>
                <w:sz w:val="16"/>
                <w:szCs w:val="16"/>
              </w:rPr>
              <w:t xml:space="preserve">Splash of silver nitrate or cyanide filtrate</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20"/>
              </w:numPr>
              <w:rPr>
                <w:sz w:val="16"/>
                <w:szCs w:val="16"/>
                <w:lang w:val="en-AU"/>
              </w:rPr>
            </w:pPr>
            <w:r>
              <w:rPr>
                <w:sz w:val="16"/>
                <w:szCs w:val="16"/>
              </w:rPr>
              <w:t xml:space="preserve">Endpoint overshot - wrong free cyanide result</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Rinse the burette with distilled water, then condition it three times with standardised AgNO3.</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Fill the burette with standardised AgNO3 and remove air bubbles from the tip.</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Pipette 10 mL of the filtrate into a 250 mL conical flask.</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Add 3 to 5 drops of rhodanine indicator. The solution turns pale yellow.</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Add AgNO3 dropwise while swirling continuously.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As the endpoint approaches a salmon pink precipitate forms and redissolves slowly on swirling - slow the addition at this point.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Continue dropwise until a permanent salmon pink colour holds for at least 30 seconds without swirling. That is the endpoint.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final burette reading and calculate the free cyanide concentration.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Completion and Clean 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21"/>
              </w:numPr>
              <w:rPr>
                <w:sz w:val="16"/>
                <w:szCs w:val="16"/>
                <w:lang w:val="en-AU"/>
              </w:rPr>
            </w:pPr>
            <w:r>
              <w:rPr>
                <w:sz w:val="16"/>
                <w:szCs w:val="16"/>
              </w:rPr>
              <w:t xml:space="preserve">Sample valve left weeping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21"/>
              </w:numPr>
              <w:rPr>
                <w:sz w:val="16"/>
                <w:szCs w:val="16"/>
                <w:lang w:val="en-AU"/>
              </w:rPr>
            </w:pPr>
            <w:r>
              <w:rPr>
                <w:sz w:val="16"/>
                <w:szCs w:val="16"/>
              </w:rPr>
              <w:t xml:space="preserve">Samples not handed over with a signed record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21"/>
              </w:numPr>
              <w:rPr>
                <w:sz w:val="16"/>
                <w:szCs w:val="16"/>
                <w:lang w:val="en-AU"/>
              </w:rPr>
            </w:pPr>
            <w:r>
              <w:rPr>
                <w:sz w:val="16"/>
                <w:szCs w:val="16"/>
              </w:rPr>
              <w:t xml:space="preserve">Control room not told the round is complete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Close the sample valve or stop the sample pump and confirm the point is not weeping.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Wash down the point and the surrounding walkway. Leave nothing on the grating.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sampling time, operator name and the operating conditions read at the time - flow, density and any instrument value available.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Deliver the labelled samples to the laboratory or to the composite station as the schedule requires, and sign the handover.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that the round is complete.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result, the method used and the instrument or balance identity on the field or bench data sheet - date, time, shift, operator and every value determined. Make the register or logbook entry and any handover signature.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any step not completed, with the reason.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to the Shift Supervisor, and record, any control in Part 2 found not in place.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bl>
    <w:tbl>
      <w:tblPr>
        <w:tblW w:w="10632" w:type="dxa"/>
        <w:tblInd w:w="-856" w:type="dxa"/>
        <w:tblBorders>
          <w:top w:val="outset" w:sz="6" w:space="0" w:color="auto"/>
          <w:left w:val="outset" w:sz="6" w:space="0" w:color="auto"/>
          <w:bottom w:val="outset" w:sz="6" w:space="0" w:color="auto"/>
          <w:right w:val="outset" w:sz="6" w:space="0" w:color="auto"/>
        </w:tblBorders>
        <w:tblCellMar>
          <w:left w:w="108" w:type="dxa"/>
          <w:right w:w="108" w:type="dxa"/>
        </w:tblCellMar>
        <w:tblLook w:val="04A0" w:firstRow="1" w:lastRow="0" w:firstColumn="1" w:lastColumn="0" w:noHBand="0" w:noVBand="1"/>
      </w:tblPr>
      <w:tblGrid>
        <w:gridCol w:w="4111"/>
        <w:gridCol w:w="6521"/>
      </w:tblGrid>
      <w:tr w:rsidR="00FE287E" w:rsidRPr="00A229BF" w14:paraId="71DE5478" w14:textId="77777777" w:rsidTr="00FE287E">
        <w:trPr>
          <w:cantSplit/>
          <w:trHeight w:val="300"/>
        </w:trPr>
        <w:tc>
          <w:tcPr>
            <w:tcW w:w="10632" w:type="dxa"/>
            <w:gridSpan w:val="2"/>
            <w:tcBorders>
              <w:top w:val="single" w:sz="6" w:space="0" w:color="auto"/>
              <w:left w:val="single" w:sz="6" w:space="0" w:color="auto"/>
              <w:bottom w:val="single" w:sz="6" w:space="0" w:color="auto"/>
              <w:right w:val="single" w:sz="6" w:space="0" w:color="auto"/>
            </w:tcBorders>
            <w:shd w:val="clear" w:color="auto" w:fill="D9D9D9"/>
            <w:hideMark/>
          </w:tcPr>
          <w:p w14:paraId="5EFB8306"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lastRenderedPageBreak/>
              <w:t>Referenced Documents</w:t>
            </w:r>
            <w:r>
              <w:rPr>
                <w:rFonts w:ascii="Aptos" w:eastAsia="Times New Roman" w:hAnsi="Aptos" w:cs="Segoe UI"/>
                <w:kern w:val="0"/>
                <w:sz w:val="20"/>
                <w:szCs w:val="20"/>
                <w:lang w:val="en-AU" w:eastAsia="en-AU"/>
                <w14:ligatures w14:val="none"/>
              </w:rPr>
              <w:t> </w:t>
            </w:r>
          </w:p>
        </w:tc>
      </w:tr>
      <w:tr w:rsidR="00FE287E" w:rsidRPr="00A229BF" w14:paraId="487D2FE1"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shd w:val="clear" w:color="auto" w:fill="F2F2F2"/>
            <w:hideMark/>
          </w:tcPr>
          <w:p w14:paraId="795B70E2"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ID</w:t>
            </w:r>
            <w:r>
              <w:rPr>
                <w:rFonts w:ascii="Aptos" w:eastAsia="Times New Roman" w:hAnsi="Aptos" w:cs="Segoe UI"/>
                <w:kern w:val="0"/>
                <w:sz w:val="20"/>
                <w:szCs w:val="20"/>
                <w:lang w:val="en-AU" w:eastAsia="en-AU"/>
                <w14:ligatures w14:val="none"/>
              </w:rPr>
              <w:t> </w:t>
            </w:r>
          </w:p>
        </w:tc>
        <w:tc>
          <w:tcPr>
            <w:tcW w:w="6521" w:type="dxa"/>
            <w:tcBorders>
              <w:top w:val="single" w:sz="6" w:space="0" w:color="auto"/>
              <w:left w:val="single" w:sz="6" w:space="0" w:color="auto"/>
              <w:bottom w:val="single" w:sz="6" w:space="0" w:color="auto"/>
              <w:right w:val="single" w:sz="6" w:space="0" w:color="auto"/>
            </w:tcBorders>
            <w:shd w:val="clear" w:color="auto" w:fill="F2F2F2"/>
            <w:hideMark/>
          </w:tcPr>
          <w:p w14:paraId="4406808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Title</w:t>
            </w:r>
            <w:r>
              <w:rPr>
                <w:rFonts w:ascii="Aptos" w:eastAsia="Times New Roman" w:hAnsi="Aptos" w:cs="Segoe UI"/>
                <w:kern w:val="0"/>
                <w:sz w:val="20"/>
                <w:szCs w:val="20"/>
                <w:lang w:val="en-AU" w:eastAsia="en-AU"/>
                <w14:ligatures w14:val="none"/>
              </w:rPr>
              <w:t> </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HM-PRC-VXX-PRO205</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Plant Sampling and Metallurgical Data Collection</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JSEA-PRO-MET-201-003</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 — Leach Tank Sampling Round - 031-TK-001 Launder and Discharge</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HM-MMM-WHS-REG-XXX-R00-SWI-SWMS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 / SWMS Register — tab SWI-MET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HM-PRC-V01-PRO004</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Leach Circuit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Mt. Morgan site procedure 4</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Leach Tank Sampling [LIVE]</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KBK-MIR-MP-PRO-MET-SOP-0048</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Pengambilan Sampel dan Pengukuran Profil Tangki Leaching, received 11 Aug 2026</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KBK-MIR-MP-PRO-MET-SOP-0046</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Pengukuran Oksigen Terlarut, received 11 Aug 2026</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KBK-MIR-MP-PRO-MET-SOP-0045</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Pengukuran Densitas Lumpur, received 11 Aug 2026</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4034-044-VE-003 Rev B</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Glencore Hypersparge supersonic gas sparger instructions, received 11 Aug 2026</w:t>
            </w:r>
          </w:p>
        </w:tc>
      </w:tr>
    </w:tbl>
    <w:p w14:paraId="5BADA2CD" w14:textId="3C2F490A" w:rsidR="00F63814" w:rsidRDefault="00F63814" w:rsidP="00FE287E">
      <w:pPr>
        <w:rPr>
          <w:rFonts w:ascii="Aptos" w:hAnsi="Aptos" w:cstheme="minorHAnsi"/>
          <w:sz w:val="18"/>
          <w:szCs w:val="18"/>
          <w:lang w:val="en-AU" w:eastAsia="es-ES"/>
        </w:rPr>
      </w:pPr>
    </w:p>
    <w:tbl>
      <w:tblPr>
        <w:tblStyle w:val="TableGrid3"/>
        <w:tblOverlap w:val="never"/>
        <w:tblW w:w="9643" w:type="dxa"/>
        <w:jc w:val="center"/>
        <w:tblLook w:val="04A0" w:firstRow="1" w:lastRow="0" w:firstColumn="1" w:lastColumn="0" w:noHBand="0" w:noVBand="1"/>
      </w:tblPr>
      <w:tblGrid>
        <w:gridCol w:w="9643"/>
      </w:tblGrid>
      <w:tr w:rsidR="00B4400C" w:rsidRPr="00D66A74" w14:paraId="5CF0A1E0" w14:textId="77777777" w:rsidTr="00B4400C">
        <w:trPr>
          <w:cantSplit/>
          <w:trHeight w:val="303"/>
        </w:trPr>
        <w:tc>
          <w:tcPr>
            <w:tcW w:w="9643" w:type="dxa"/>
            <w:shd w:val="clear" w:color="auto" w:fill="CC9900"/>
          </w:tcPr>
          <w:p w14:paraId="7B6B42DA" w14:textId="77777777" w:rsidR="00B4400C" w:rsidRDefault="00B4400C" w:rsidP="00B4400C">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B4400C" w:rsidRPr="00D66A74" w14:paraId="28276D10" w14:textId="77777777" w:rsidTr="00B4400C">
        <w:trPr>
          <w:cantSplit/>
        </w:trPr>
        <w:tc>
          <w:tcPr>
            <w:tcW w:w="9643" w:type="dxa"/>
          </w:tcPr>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1. HCN Gas Alarm If the personal monitor or fixed detection alarms (5 ppm alarm, 10 ppm high-high), stop work, leave the area upwind and call CH19 “EMERGENCY”. Do not re-enter until the Shift Supervisor clears the area.</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2. Contact with Moving Equipment If a person is caught by or struck by an agitator, pump or screen, hit the nearest emergency stop, call CH19 “EMERGENCY” and call 000. Do not approach the equipment until it is isolated and locked out.</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3. Suspected Cyanide Exposure If a person becomes dizzy, short of breath or collapses, call CH19 “EMERGENCY”, call 000, and bring the cyanide antidote kit and a trained first aider. Do not give mouth-to-mouth resuscitation.</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4. Skin or Eye Contact with Slurry or Filtrate Flush with copious water at the safety shower or eyewash for a minimum of 15 minutes. Remove contaminated clothing while flushing. Report to the first aider.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5. Person Down at a Tank Top, Launder or Hopper Opening Do not enter the opening. Call CH19 “EMERGENCY” and call 000. Rescue is by the trained rescue team under the site confined space procedure only.</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6. Fall from Height Do not move the injured person unless they are in danger. Call CH19 “EMERGENCY”, call 000,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tc>
      </w:tr>
    </w:tbl>
    <w:p w14:paraId="1FE1FC3E" w14:textId="77777777" w:rsidR="00935A9D" w:rsidRDefault="00935A9D" w:rsidP="00FE287E">
      <w:pPr>
        <w:spacing w:before="0" w:after="0" w:line="20" w:lineRule="exact"/>
        <w:rPr>
          <w:rFonts w:ascii="Aptos" w:hAnsi="Aptos" w:cstheme="minorHAnsi"/>
          <w:sz w:val="18"/>
          <w:szCs w:val="18"/>
          <w:lang w:val="en-AU" w:eastAsia="es-ES"/>
        </w:rPr>
      </w:pPr>
    </w:p>
    <w:sectPr w:rsidR="00935A9D" w:rsidSect="004548D3">
      <w:headerReference w:type="default" r:id="rId27"/>
      <w:footerReference w:type="default" r:id="rId28"/>
      <w:pgSz w:w="11906" w:h="16838"/>
      <w:pgMar w:top="824" w:right="1440" w:bottom="1135" w:left="1440" w:header="708" w:footer="0" w:gutter="0"/>
      <w:pgBorders w:offsetFrom="page">
        <w:top w:val="single" w:sz="4" w:space="24" w:color="CC9900"/>
        <w:left w:val="single" w:sz="4" w:space="24" w:color="CC9900"/>
        <w:bottom w:val="single" w:sz="4" w:space="24" w:color="CC9900"/>
        <w:right w:val="single" w:sz="4" w:space="24" w:color="CC990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3287F" w14:textId="77777777" w:rsidR="00953CC2" w:rsidRDefault="00953CC2" w:rsidP="0073129F">
      <w:pPr>
        <w:spacing w:after="0" w:line="240" w:lineRule="auto"/>
      </w:pPr>
      <w:r>
        <w:separator/>
      </w:r>
    </w:p>
  </w:endnote>
  <w:endnote w:type="continuationSeparator" w:id="0">
    <w:p w14:paraId="4EAA76BF" w14:textId="77777777" w:rsidR="00953CC2" w:rsidRDefault="00953CC2" w:rsidP="0073129F">
      <w:pPr>
        <w:spacing w:after="0" w:line="240" w:lineRule="auto"/>
      </w:pPr>
      <w:r>
        <w:continuationSeparator/>
      </w:r>
    </w:p>
  </w:endnote>
  <w:endnote w:type="continuationNotice" w:id="1">
    <w:p w14:paraId="4989ACCD" w14:textId="77777777" w:rsidR="00953CC2" w:rsidRDefault="00953C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404"/>
      <w:gridCol w:w="1417"/>
      <w:gridCol w:w="1539"/>
    </w:tblGrid>
    <w:tr w:rsidR="00352B1F" w:rsidRPr="005C02FA" w14:paraId="3E20B001" w14:textId="77777777" w:rsidTr="003744DA">
      <w:trPr>
        <w:trHeight w:val="20"/>
        <w:jc w:val="center"/>
      </w:trPr>
      <w:tc>
        <w:tcPr>
          <w:tcW w:w="1413" w:type="dxa"/>
          <w:vAlign w:val="center"/>
        </w:tcPr>
        <w:p w14:paraId="51877C14"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404" w:type="dxa"/>
        </w:tcPr>
        <w:p w14:paraId="55AFF1FE" w14:textId="07E9A2B8"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sidRPr="00097C0F">
            <w:rPr>
              <w:sz w:val="16"/>
              <w:szCs w:val="16"/>
            </w:rPr>
            <w:t>SWI-PRO-MET-201-003</w:t>
          </w:r>
          <w:r w:rsidR="00945F8F" w:rsidRPr="00945F8F">
            <w:rPr>
              <w:sz w:val="16"/>
              <w:szCs w:val="16"/>
            </w:rPr>
            <w:t xml:space="preserve"> — </w:t>
          </w:r>
          <w:r w:rsidR="005D5479" w:rsidRPr="005D5479">
            <w:rPr>
              <w:sz w:val="16"/>
              <w:szCs w:val="16"/>
            </w:rPr>
            <w:t>Leach Tank Sampling Round - 031-TK-001 Launder and Discharge</w:t>
          </w:r>
        </w:p>
      </w:tc>
      <w:tc>
        <w:tcPr>
          <w:tcW w:w="1417" w:type="dxa"/>
          <w:vAlign w:val="center"/>
        </w:tcPr>
        <w:p w14:paraId="59E3783C" w14:textId="77777777" w:rsidR="00352B1F" w:rsidRPr="00201C58" w:rsidRDefault="00352B1F" w:rsidP="00352B1F">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539" w:type="dxa"/>
          <w:vAlign w:val="center"/>
        </w:tcPr>
        <w:p w14:paraId="06888345" w14:textId="34112C4E" w:rsidR="00352B1F" w:rsidRPr="00201C58" w:rsidRDefault="00097C0F" w:rsidP="00352B1F">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11</w:t>
          </w:r>
          <w:r w:rsidR="00352B1F">
            <w:rPr>
              <w:rFonts w:cstheme="minorHAnsi"/>
              <w:sz w:val="18"/>
              <w:szCs w:val="18"/>
              <w:lang w:eastAsia="en-AU"/>
            </w:rPr>
            <w:t>/</w:t>
          </w:r>
          <w:r>
            <w:rPr>
              <w:rFonts w:cstheme="minorHAnsi"/>
              <w:sz w:val="18"/>
              <w:szCs w:val="18"/>
              <w:lang w:eastAsia="en-AU"/>
            </w:rPr>
            <w:t>08</w:t>
          </w:r>
          <w:r w:rsidR="00352B1F">
            <w:rPr>
              <w:rFonts w:cstheme="minorHAnsi"/>
              <w:sz w:val="18"/>
              <w:szCs w:val="18"/>
              <w:lang w:eastAsia="en-AU"/>
            </w:rPr>
            <w:t>/2026</w:t>
          </w:r>
          <w:r>
            <w:rPr>
              <w:rFonts w:cstheme="minorHAnsi"/>
              <w:sz w:val="18"/>
              <w:szCs w:val="18"/>
              <w:lang w:eastAsia="en-AU"/>
            </w:rPr>
            <w:t/>
          </w:r>
        </w:p>
      </w:tc>
    </w:tr>
    <w:tr w:rsidR="00352B1F" w:rsidRPr="005C02FA" w14:paraId="04C607A3" w14:textId="77777777" w:rsidTr="00F82BE4">
      <w:trPr>
        <w:trHeight w:val="20"/>
        <w:jc w:val="center"/>
      </w:trPr>
      <w:tc>
        <w:tcPr>
          <w:tcW w:w="1413" w:type="dxa"/>
          <w:vAlign w:val="center"/>
        </w:tcPr>
        <w:p w14:paraId="070CEA36"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404" w:type="dxa"/>
          <w:vAlign w:val="center"/>
        </w:tcPr>
        <w:p w14:paraId="1581D6E9" w14:textId="1405FBEA"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A</w:t>
          </w:r>
        </w:p>
      </w:tc>
      <w:tc>
        <w:tcPr>
          <w:tcW w:w="1417" w:type="dxa"/>
          <w:vAlign w:val="center"/>
        </w:tcPr>
        <w:p w14:paraId="311E7273" w14:textId="77777777" w:rsidR="00352B1F" w:rsidRPr="00201C58" w:rsidRDefault="00352B1F" w:rsidP="00352B1F">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539" w:type="dxa"/>
          <w:vAlign w:val="center"/>
        </w:tcPr>
        <w:p w14:paraId="78197C64" w14:textId="77777777" w:rsidR="00352B1F" w:rsidRPr="00201C58" w:rsidRDefault="00352B1F" w:rsidP="00352B1F">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6BD8E810" w14:textId="19A410E5" w:rsidR="00AA555C" w:rsidRDefault="00AA555C" w:rsidP="00F82BE4">
    <w:pPr>
      <w:pStyle w:val="Footer"/>
      <w:tabs>
        <w:tab w:val="clear" w:pos="4513"/>
        <w:tab w:val="clear" w:pos="9026"/>
        <w:tab w:val="left" w:pos="34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3765C" w14:textId="77777777" w:rsidR="00953CC2" w:rsidRDefault="00953CC2" w:rsidP="0073129F">
      <w:pPr>
        <w:spacing w:after="0" w:line="240" w:lineRule="auto"/>
      </w:pPr>
      <w:r>
        <w:separator/>
      </w:r>
    </w:p>
  </w:footnote>
  <w:footnote w:type="continuationSeparator" w:id="0">
    <w:p w14:paraId="36115DCC" w14:textId="77777777" w:rsidR="00953CC2" w:rsidRDefault="00953CC2" w:rsidP="0073129F">
      <w:pPr>
        <w:spacing w:after="0" w:line="240" w:lineRule="auto"/>
      </w:pPr>
      <w:r>
        <w:continuationSeparator/>
      </w:r>
    </w:p>
  </w:footnote>
  <w:footnote w:type="continuationNotice" w:id="1">
    <w:p w14:paraId="13ED8269" w14:textId="77777777" w:rsidR="00953CC2" w:rsidRDefault="00953CC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Layout w:type="fixed"/>
      <w:tblLook w:val="04A0" w:firstRow="1" w:lastRow="0" w:firstColumn="1" w:lastColumn="0" w:noHBand="0" w:noVBand="1"/>
    </w:tblPr>
    <w:tblGrid>
      <w:gridCol w:w="1980"/>
      <w:gridCol w:w="7229"/>
      <w:gridCol w:w="992"/>
      <w:gridCol w:w="572"/>
    </w:tblGrid>
    <w:tr w:rsidR="00F82BE4" w:rsidRPr="00A35456" w14:paraId="2DC818DF" w14:textId="77777777" w:rsidTr="003744DA">
      <w:trPr>
        <w:trHeight w:val="165"/>
        <w:jc w:val="center"/>
      </w:trPr>
      <w:tc>
        <w:tcPr>
          <w:tcW w:w="1980" w:type="dxa"/>
          <w:shd w:val="clear" w:color="auto" w:fill="FFFFFF"/>
          <w:vAlign w:val="center"/>
        </w:tcPr>
        <w:p w14:paraId="5C4B480D" w14:textId="77777777" w:rsidR="00F82BE4" w:rsidRPr="00A35456" w:rsidRDefault="00F82BE4" w:rsidP="00F82BE4">
          <w:pPr>
            <w:tabs>
              <w:tab w:val="left" w:pos="3402"/>
              <w:tab w:val="center" w:pos="4513"/>
              <w:tab w:val="left" w:pos="5954"/>
              <w:tab w:val="right" w:pos="9026"/>
            </w:tabs>
            <w:ind w:left="-115" w:right="-107"/>
            <w:jc w:val="center"/>
            <w:rPr>
              <w:b/>
              <w:color w:val="000000"/>
              <w:sz w:val="36"/>
              <w:szCs w:val="36"/>
              <w:lang w:eastAsia="en-AU"/>
            </w:rPr>
          </w:pPr>
          <w:bookmarkStart w:id="0" w:name="_Hlk87281182"/>
          <w:r w:rsidRPr="00A35456">
            <w:rPr>
              <w:noProof/>
              <w:sz w:val="20"/>
              <w:szCs w:val="20"/>
            </w:rPr>
            <w:drawing>
              <wp:inline distT="0" distB="0" distL="0" distR="0" wp14:anchorId="3DE15B11" wp14:editId="096F6788">
                <wp:extent cx="1239769" cy="268057"/>
                <wp:effectExtent l="0" t="0" r="0" b="0"/>
                <wp:docPr id="1020201027" name="Picture 102020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9769" cy="268057"/>
                        </a:xfrm>
                        <a:prstGeom prst="rect">
                          <a:avLst/>
                        </a:prstGeom>
                        <a:noFill/>
                        <a:ln>
                          <a:noFill/>
                        </a:ln>
                      </pic:spPr>
                    </pic:pic>
                  </a:graphicData>
                </a:graphic>
              </wp:inline>
            </w:drawing>
          </w:r>
        </w:p>
      </w:tc>
      <w:tc>
        <w:tcPr>
          <w:tcW w:w="7229" w:type="dxa"/>
          <w:shd w:val="clear" w:color="auto" w:fill="FFFFFF" w:themeFill="background1"/>
          <w:vAlign w:val="center"/>
        </w:tcPr>
        <w:p w14:paraId="4C9B15E1" w14:textId="77777777" w:rsidR="004548D3" w:rsidRPr="00022212" w:rsidRDefault="004548D3" w:rsidP="004548D3">
          <w:pPr>
            <w:tabs>
              <w:tab w:val="left" w:pos="3402"/>
              <w:tab w:val="center" w:pos="4513"/>
              <w:tab w:val="left" w:pos="5954"/>
              <w:tab w:val="right" w:pos="9026"/>
            </w:tabs>
            <w:jc w:val="center"/>
            <w:rPr>
              <w:rFonts w:cstheme="minorHAnsi"/>
              <w:b/>
              <w:noProof/>
              <w:color w:val="996633"/>
              <w:sz w:val="28"/>
              <w:szCs w:val="28"/>
              <w:lang w:eastAsia="en-AU"/>
            </w:rPr>
          </w:pPr>
          <w:r w:rsidRPr="00022212">
            <w:rPr>
              <w:rFonts w:cstheme="minorHAnsi"/>
              <w:b/>
              <w:color w:val="595959" w:themeColor="text1" w:themeTint="A6"/>
              <w:sz w:val="36"/>
              <w:szCs w:val="36"/>
              <w:lang w:eastAsia="en-AU"/>
            </w:rPr>
            <w:t>Safe Work Instruction</w:t>
          </w:r>
          <w:r w:rsidRPr="00022212">
            <w:rPr>
              <w:rFonts w:cstheme="minorHAnsi"/>
              <w:b/>
              <w:noProof/>
              <w:color w:val="996633"/>
              <w:sz w:val="28"/>
              <w:szCs w:val="28"/>
              <w:lang w:eastAsia="en-AU"/>
            </w:rPr>
            <w:t xml:space="preserve"> </w:t>
          </w:r>
        </w:p>
        <w:p w14:paraId="4F17F1A4" w14:textId="7E9C641D" w:rsidR="00F82BE4" w:rsidRPr="005D67F0" w:rsidRDefault="00CA3181" w:rsidP="004548D3">
          <w:pPr>
            <w:tabs>
              <w:tab w:val="left" w:pos="3402"/>
              <w:tab w:val="center" w:pos="4513"/>
              <w:tab w:val="left" w:pos="5954"/>
              <w:tab w:val="right" w:pos="9026"/>
            </w:tabs>
            <w:jc w:val="center"/>
            <w:rPr>
              <w:rFonts w:cstheme="minorHAnsi"/>
              <w:b/>
              <w:noProof/>
              <w:color w:val="996633"/>
              <w:sz w:val="32"/>
              <w:szCs w:val="32"/>
              <w:lang w:eastAsia="en-AU"/>
            </w:rPr>
          </w:pPr>
          <w:r w:rsidRPr="00CA3181">
            <w:rPr>
              <w:rFonts w:cstheme="minorHAnsi"/>
              <w:b/>
              <w:noProof/>
              <w:color w:val="996633"/>
              <w:sz w:val="24"/>
              <w:szCs w:val="24"/>
              <w:lang w:eastAsia="en-AU"/>
            </w:rPr>
            <w:t>Leach Tank Sampling Round - 031-TK-001 Launder and Discharge</w:t>
          </w:r>
        </w:p>
      </w:tc>
      <w:tc>
        <w:tcPr>
          <w:tcW w:w="992" w:type="dxa"/>
          <w:shd w:val="clear" w:color="auto" w:fill="FFFFFF"/>
          <w:vAlign w:val="center"/>
        </w:tcPr>
        <w:p w14:paraId="649DEF07" w14:textId="77777777" w:rsidR="00F82BE4"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1E38368" wp14:editId="6034ECB2">
                <wp:extent cx="252730" cy="252730"/>
                <wp:effectExtent l="0" t="0" r="1270" b="1270"/>
                <wp:docPr id="155011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43043" name=""/>
                        <pic:cNvPicPr/>
                      </pic:nvPicPr>
                      <pic:blipFill>
                        <a:blip r:embed="rId2"/>
                        <a:stretch>
                          <a:fillRect/>
                        </a:stretch>
                      </pic:blipFill>
                      <pic:spPr>
                        <a:xfrm>
                          <a:off x="0" y="0"/>
                          <a:ext cx="291725" cy="291725"/>
                        </a:xfrm>
                        <a:prstGeom prst="rect">
                          <a:avLst/>
                        </a:prstGeom>
                      </pic:spPr>
                    </pic:pic>
                  </a:graphicData>
                </a:graphic>
              </wp:inline>
            </w:drawing>
          </w:r>
          <w:r w:rsidRPr="00AA43B2">
            <w:rPr>
              <w:noProof/>
            </w:rPr>
            <w:drawing>
              <wp:inline distT="0" distB="0" distL="0" distR="0" wp14:anchorId="6969402E" wp14:editId="05D0048C">
                <wp:extent cx="251460" cy="251460"/>
                <wp:effectExtent l="0" t="0" r="2540" b="2540"/>
                <wp:docPr id="1303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852" name=""/>
                        <pic:cNvPicPr/>
                      </pic:nvPicPr>
                      <pic:blipFill>
                        <a:blip r:embed="rId3"/>
                        <a:stretch>
                          <a:fillRect/>
                        </a:stretch>
                      </pic:blipFill>
                      <pic:spPr>
                        <a:xfrm>
                          <a:off x="0" y="0"/>
                          <a:ext cx="316230" cy="316230"/>
                        </a:xfrm>
                        <a:prstGeom prst="rect">
                          <a:avLst/>
                        </a:prstGeom>
                      </pic:spPr>
                    </pic:pic>
                  </a:graphicData>
                </a:graphic>
              </wp:inline>
            </w:drawing>
          </w:r>
        </w:p>
        <w:p w14:paraId="19E7C034" w14:textId="77777777" w:rsidR="00F82BE4" w:rsidRPr="00A35456"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84B2E8D" wp14:editId="174599D6">
                <wp:extent cx="251460" cy="251460"/>
                <wp:effectExtent l="0" t="0" r="2540" b="2540"/>
                <wp:docPr id="201008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36609" name=""/>
                        <pic:cNvPicPr/>
                      </pic:nvPicPr>
                      <pic:blipFill>
                        <a:blip r:embed="rId4"/>
                        <a:stretch>
                          <a:fillRect/>
                        </a:stretch>
                      </pic:blipFill>
                      <pic:spPr>
                        <a:xfrm>
                          <a:off x="0" y="0"/>
                          <a:ext cx="262770" cy="262770"/>
                        </a:xfrm>
                        <a:prstGeom prst="rect">
                          <a:avLst/>
                        </a:prstGeom>
                      </pic:spPr>
                    </pic:pic>
                  </a:graphicData>
                </a:graphic>
              </wp:inline>
            </w:drawing>
          </w:r>
          <w:r w:rsidRPr="00AA43B2">
            <w:rPr>
              <w:noProof/>
            </w:rPr>
            <w:drawing>
              <wp:inline distT="0" distB="0" distL="0" distR="0" wp14:anchorId="642B6C93" wp14:editId="70F12854">
                <wp:extent cx="251502" cy="251502"/>
                <wp:effectExtent l="0" t="0" r="2540" b="2540"/>
                <wp:docPr id="183892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56593" name=""/>
                        <pic:cNvPicPr/>
                      </pic:nvPicPr>
                      <pic:blipFill>
                        <a:blip r:embed="rId5"/>
                        <a:stretch>
                          <a:fillRect/>
                        </a:stretch>
                      </pic:blipFill>
                      <pic:spPr>
                        <a:xfrm>
                          <a:off x="0" y="0"/>
                          <a:ext cx="268490" cy="268490"/>
                        </a:xfrm>
                        <a:prstGeom prst="rect">
                          <a:avLst/>
                        </a:prstGeom>
                      </pic:spPr>
                    </pic:pic>
                  </a:graphicData>
                </a:graphic>
              </wp:inline>
            </w:drawing>
          </w:r>
        </w:p>
      </w:tc>
      <w:tc>
        <w:tcPr>
          <w:tcW w:w="572" w:type="dxa"/>
          <w:vAlign w:val="center"/>
          <w:hideMark/>
        </w:tcPr>
        <w:p w14:paraId="6AC54A81" w14:textId="77777777" w:rsidR="00F82BE4" w:rsidRPr="00A35456" w:rsidRDefault="00F82BE4" w:rsidP="00F82BE4">
          <w:pPr>
            <w:tabs>
              <w:tab w:val="left" w:pos="3402"/>
              <w:tab w:val="center" w:pos="4513"/>
              <w:tab w:val="left" w:pos="5954"/>
              <w:tab w:val="right" w:pos="9026"/>
            </w:tabs>
            <w:ind w:left="-106" w:right="-106"/>
            <w:jc w:val="center"/>
            <w:rPr>
              <w:b/>
              <w:color w:val="404040"/>
              <w:sz w:val="28"/>
              <w:szCs w:val="28"/>
              <w:lang w:eastAsia="en-AU"/>
            </w:rPr>
          </w:pPr>
          <w:r>
            <w:rPr>
              <w:b/>
              <w:noProof/>
              <w:color w:val="404040"/>
              <w:sz w:val="28"/>
              <w:szCs w:val="28"/>
              <w:lang w:eastAsia="en-AU"/>
            </w:rPr>
            <w:drawing>
              <wp:inline distT="0" distB="0" distL="0" distR="0" wp14:anchorId="6EA5120D" wp14:editId="4DB28085">
                <wp:extent cx="341630" cy="298450"/>
                <wp:effectExtent l="0" t="0" r="1270" b="6350"/>
                <wp:docPr id="2083345562" name="Picture 208334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7118" cy="338189"/>
                        </a:xfrm>
                        <a:prstGeom prst="rect">
                          <a:avLst/>
                        </a:prstGeom>
                        <a:noFill/>
                      </pic:spPr>
                    </pic:pic>
                  </a:graphicData>
                </a:graphic>
              </wp:inline>
            </w:drawing>
          </w:r>
        </w:p>
      </w:tc>
    </w:tr>
    <w:bookmarkEnd w:id="0"/>
  </w:tbl>
  <w:p w14:paraId="4DA98ACF" w14:textId="52D1F906" w:rsidR="0073129F" w:rsidRPr="00F82BE4" w:rsidRDefault="0073129F" w:rsidP="00F82B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B4232"/>
    <w:multiLevelType w:val="hybridMultilevel"/>
    <w:tmpl w:val="8742985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 w15:restartNumberingAfterBreak="0">
    <w:nsid w:val="21707D6A"/>
    <w:multiLevelType w:val="hybridMultilevel"/>
    <w:tmpl w:val="9E8A8992"/>
    <w:lvl w:ilvl="0" w:tplc="A300C0A2">
      <w:start w:val="5"/>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DB2D59"/>
    <w:multiLevelType w:val="hybridMultilevel"/>
    <w:tmpl w:val="BF48D5B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1A41060"/>
    <w:multiLevelType w:val="hybridMultilevel"/>
    <w:tmpl w:val="AAACF98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7B436EF"/>
    <w:multiLevelType w:val="hybridMultilevel"/>
    <w:tmpl w:val="6716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7EA5383"/>
    <w:multiLevelType w:val="hybridMultilevel"/>
    <w:tmpl w:val="1172A7E8"/>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F3D2CDD"/>
    <w:multiLevelType w:val="hybridMultilevel"/>
    <w:tmpl w:val="BC18715A"/>
    <w:lvl w:ilvl="0" w:tplc="FFFFFFFF">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5A5424FD"/>
    <w:multiLevelType w:val="hybridMultilevel"/>
    <w:tmpl w:val="E2F2DFBA"/>
    <w:lvl w:ilvl="0" w:tplc="A504F706">
      <w:start w:val="1"/>
      <w:numFmt w:val="lowerLetter"/>
      <w:lvlText w:val="%1)"/>
      <w:lvlJc w:val="left"/>
      <w:pPr>
        <w:ind w:left="360" w:hanging="360"/>
      </w:pPr>
      <w:rPr>
        <w:b w:val="0"/>
        <w:bCs w:val="0"/>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60C07C65"/>
    <w:multiLevelType w:val="hybridMultilevel"/>
    <w:tmpl w:val="E7D6BD5E"/>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71371F0D"/>
    <w:multiLevelType w:val="hybridMultilevel"/>
    <w:tmpl w:val="D918F092"/>
    <w:lvl w:ilvl="0" w:tplc="0C090017">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72917361"/>
    <w:multiLevelType w:val="hybridMultilevel"/>
    <w:tmpl w:val="459CBD3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746D5615"/>
    <w:multiLevelType w:val="hybridMultilevel"/>
    <w:tmpl w:val="670A74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8872DE7"/>
    <w:multiLevelType w:val="hybridMultilevel"/>
    <w:tmpl w:val="899EDD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7F110455"/>
    <w:multiLevelType w:val="hybridMultilevel"/>
    <w:tmpl w:val="BB92499C"/>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16427121">
    <w:abstractNumId w:val="5"/>
  </w:num>
  <w:num w:numId="2" w16cid:durableId="30808678">
    <w:abstractNumId w:val="13"/>
  </w:num>
  <w:num w:numId="3" w16cid:durableId="74859805">
    <w:abstractNumId w:val="4"/>
  </w:num>
  <w:num w:numId="4" w16cid:durableId="1995143245">
    <w:abstractNumId w:val="11"/>
  </w:num>
  <w:num w:numId="5" w16cid:durableId="374697534">
    <w:abstractNumId w:val="0"/>
  </w:num>
  <w:num w:numId="6" w16cid:durableId="493032746">
    <w:abstractNumId w:val="3"/>
  </w:num>
  <w:num w:numId="7" w16cid:durableId="1075787084">
    <w:abstractNumId w:val="7"/>
  </w:num>
  <w:num w:numId="8" w16cid:durableId="1736049322">
    <w:abstractNumId w:val="9"/>
  </w:num>
  <w:num w:numId="9" w16cid:durableId="1593198212">
    <w:abstractNumId w:val="6"/>
  </w:num>
  <w:num w:numId="10" w16cid:durableId="1127238534">
    <w:abstractNumId w:val="2"/>
  </w:num>
  <w:num w:numId="11" w16cid:durableId="1151168695">
    <w:abstractNumId w:val="10"/>
  </w:num>
  <w:num w:numId="12" w16cid:durableId="694893133">
    <w:abstractNumId w:val="8"/>
  </w:num>
  <w:num w:numId="13" w16cid:durableId="508525208">
    <w:abstractNumId w:val="12"/>
  </w:num>
  <w:num w:numId="14" w16cid:durableId="270745632">
    <w:abstractNumId w:val="1"/>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 w:numId="20">
    <w:abstractNumId w:val="9"/>
    <w:lvlOverride w:ilvl="0">
      <w:startOverride w:val="1"/>
    </w:lvlOverride>
  </w:num>
  <w:num w:numId="21">
    <w:abstractNumId w:val="9"/>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9F"/>
    <w:rsid w:val="000107B7"/>
    <w:rsid w:val="00011536"/>
    <w:rsid w:val="000238F6"/>
    <w:rsid w:val="000528C6"/>
    <w:rsid w:val="00057689"/>
    <w:rsid w:val="00071B9F"/>
    <w:rsid w:val="0007340F"/>
    <w:rsid w:val="00077B99"/>
    <w:rsid w:val="000901E3"/>
    <w:rsid w:val="00097C0F"/>
    <w:rsid w:val="00097CBB"/>
    <w:rsid w:val="000A010B"/>
    <w:rsid w:val="000A2C96"/>
    <w:rsid w:val="000C5CB1"/>
    <w:rsid w:val="000D3AF8"/>
    <w:rsid w:val="000D6F3A"/>
    <w:rsid w:val="000D7965"/>
    <w:rsid w:val="000E0A82"/>
    <w:rsid w:val="000F32C3"/>
    <w:rsid w:val="000F4704"/>
    <w:rsid w:val="000F6F0D"/>
    <w:rsid w:val="000F72AB"/>
    <w:rsid w:val="00111DF4"/>
    <w:rsid w:val="0011668A"/>
    <w:rsid w:val="0013076A"/>
    <w:rsid w:val="00132C16"/>
    <w:rsid w:val="00135A28"/>
    <w:rsid w:val="00154950"/>
    <w:rsid w:val="00155C9B"/>
    <w:rsid w:val="00167C78"/>
    <w:rsid w:val="00170914"/>
    <w:rsid w:val="001738EC"/>
    <w:rsid w:val="00181951"/>
    <w:rsid w:val="00186E2E"/>
    <w:rsid w:val="0018795A"/>
    <w:rsid w:val="001B1A23"/>
    <w:rsid w:val="001E6BAF"/>
    <w:rsid w:val="001F5752"/>
    <w:rsid w:val="002027CF"/>
    <w:rsid w:val="00204486"/>
    <w:rsid w:val="00205825"/>
    <w:rsid w:val="00212F25"/>
    <w:rsid w:val="002132C8"/>
    <w:rsid w:val="00220EE8"/>
    <w:rsid w:val="0024388D"/>
    <w:rsid w:val="002549D2"/>
    <w:rsid w:val="00254EFE"/>
    <w:rsid w:val="00276080"/>
    <w:rsid w:val="00286FD3"/>
    <w:rsid w:val="00291A80"/>
    <w:rsid w:val="00294C35"/>
    <w:rsid w:val="002A7F0F"/>
    <w:rsid w:val="002C0CFB"/>
    <w:rsid w:val="002C1FC0"/>
    <w:rsid w:val="002C3578"/>
    <w:rsid w:val="002D49A2"/>
    <w:rsid w:val="002F038A"/>
    <w:rsid w:val="00302030"/>
    <w:rsid w:val="00315195"/>
    <w:rsid w:val="0033451D"/>
    <w:rsid w:val="00350407"/>
    <w:rsid w:val="00352B1F"/>
    <w:rsid w:val="003622E8"/>
    <w:rsid w:val="00371267"/>
    <w:rsid w:val="00373CFA"/>
    <w:rsid w:val="00373ECB"/>
    <w:rsid w:val="003744DA"/>
    <w:rsid w:val="003751C4"/>
    <w:rsid w:val="00375845"/>
    <w:rsid w:val="00377EFB"/>
    <w:rsid w:val="0038655F"/>
    <w:rsid w:val="003A51A2"/>
    <w:rsid w:val="003C14E2"/>
    <w:rsid w:val="003D177E"/>
    <w:rsid w:val="003F7898"/>
    <w:rsid w:val="00422F32"/>
    <w:rsid w:val="004548D3"/>
    <w:rsid w:val="00456059"/>
    <w:rsid w:val="00460630"/>
    <w:rsid w:val="004A2C3E"/>
    <w:rsid w:val="004A6DAB"/>
    <w:rsid w:val="004B4762"/>
    <w:rsid w:val="004B6970"/>
    <w:rsid w:val="004C5CD7"/>
    <w:rsid w:val="004D1D49"/>
    <w:rsid w:val="004D6FA7"/>
    <w:rsid w:val="004E7855"/>
    <w:rsid w:val="005164A1"/>
    <w:rsid w:val="0054569A"/>
    <w:rsid w:val="00554A57"/>
    <w:rsid w:val="00563DE5"/>
    <w:rsid w:val="0057138F"/>
    <w:rsid w:val="00593929"/>
    <w:rsid w:val="0059556D"/>
    <w:rsid w:val="005A0C82"/>
    <w:rsid w:val="005A1922"/>
    <w:rsid w:val="005A397C"/>
    <w:rsid w:val="005C0290"/>
    <w:rsid w:val="005C39FE"/>
    <w:rsid w:val="005D5479"/>
    <w:rsid w:val="005F1240"/>
    <w:rsid w:val="0060588B"/>
    <w:rsid w:val="00606C2B"/>
    <w:rsid w:val="006263DC"/>
    <w:rsid w:val="00636AB0"/>
    <w:rsid w:val="0064550C"/>
    <w:rsid w:val="006455F1"/>
    <w:rsid w:val="00646D93"/>
    <w:rsid w:val="00652D06"/>
    <w:rsid w:val="00660CF2"/>
    <w:rsid w:val="0066160F"/>
    <w:rsid w:val="00670544"/>
    <w:rsid w:val="00671173"/>
    <w:rsid w:val="0067385A"/>
    <w:rsid w:val="00675AD8"/>
    <w:rsid w:val="00682DA6"/>
    <w:rsid w:val="006A4EAE"/>
    <w:rsid w:val="006A5BC5"/>
    <w:rsid w:val="006B029E"/>
    <w:rsid w:val="006B236D"/>
    <w:rsid w:val="006B325E"/>
    <w:rsid w:val="006C3D84"/>
    <w:rsid w:val="006C4E9A"/>
    <w:rsid w:val="006D2854"/>
    <w:rsid w:val="006F34AE"/>
    <w:rsid w:val="007035B4"/>
    <w:rsid w:val="007049A3"/>
    <w:rsid w:val="00711B88"/>
    <w:rsid w:val="00717577"/>
    <w:rsid w:val="0073129F"/>
    <w:rsid w:val="00731E82"/>
    <w:rsid w:val="0076476E"/>
    <w:rsid w:val="00780B43"/>
    <w:rsid w:val="00782BC0"/>
    <w:rsid w:val="007964B3"/>
    <w:rsid w:val="007A375D"/>
    <w:rsid w:val="007A3FCE"/>
    <w:rsid w:val="007B0539"/>
    <w:rsid w:val="007B3EA6"/>
    <w:rsid w:val="007B539B"/>
    <w:rsid w:val="007C1F8B"/>
    <w:rsid w:val="007C3153"/>
    <w:rsid w:val="007D26B3"/>
    <w:rsid w:val="007D2C54"/>
    <w:rsid w:val="007E041A"/>
    <w:rsid w:val="007E1950"/>
    <w:rsid w:val="007E56A9"/>
    <w:rsid w:val="007E6AC7"/>
    <w:rsid w:val="007E7B16"/>
    <w:rsid w:val="008116A9"/>
    <w:rsid w:val="008216DB"/>
    <w:rsid w:val="00826622"/>
    <w:rsid w:val="008329B5"/>
    <w:rsid w:val="0084211D"/>
    <w:rsid w:val="008437DE"/>
    <w:rsid w:val="008515CD"/>
    <w:rsid w:val="00853676"/>
    <w:rsid w:val="00857C2E"/>
    <w:rsid w:val="00860AAC"/>
    <w:rsid w:val="00891C9B"/>
    <w:rsid w:val="00892A21"/>
    <w:rsid w:val="008A2DBE"/>
    <w:rsid w:val="008A6893"/>
    <w:rsid w:val="008B2082"/>
    <w:rsid w:val="008C03A0"/>
    <w:rsid w:val="008D0F36"/>
    <w:rsid w:val="008D181A"/>
    <w:rsid w:val="008D77E1"/>
    <w:rsid w:val="008E11BB"/>
    <w:rsid w:val="008E4B10"/>
    <w:rsid w:val="009061BA"/>
    <w:rsid w:val="0091369D"/>
    <w:rsid w:val="00930666"/>
    <w:rsid w:val="00935A9D"/>
    <w:rsid w:val="009444DA"/>
    <w:rsid w:val="00945F8F"/>
    <w:rsid w:val="0094795C"/>
    <w:rsid w:val="00951DB3"/>
    <w:rsid w:val="00953CC2"/>
    <w:rsid w:val="00956C63"/>
    <w:rsid w:val="00987B94"/>
    <w:rsid w:val="00995B6B"/>
    <w:rsid w:val="00996C7C"/>
    <w:rsid w:val="009A5A30"/>
    <w:rsid w:val="009A6010"/>
    <w:rsid w:val="009B51DB"/>
    <w:rsid w:val="009E45FB"/>
    <w:rsid w:val="009E4943"/>
    <w:rsid w:val="009F1726"/>
    <w:rsid w:val="009F2B3F"/>
    <w:rsid w:val="009F4752"/>
    <w:rsid w:val="00A010B1"/>
    <w:rsid w:val="00A06610"/>
    <w:rsid w:val="00A076F7"/>
    <w:rsid w:val="00A229BF"/>
    <w:rsid w:val="00A32BBF"/>
    <w:rsid w:val="00A3394D"/>
    <w:rsid w:val="00A5266D"/>
    <w:rsid w:val="00A5440A"/>
    <w:rsid w:val="00A568E0"/>
    <w:rsid w:val="00A7150C"/>
    <w:rsid w:val="00A71790"/>
    <w:rsid w:val="00A722A0"/>
    <w:rsid w:val="00A9336A"/>
    <w:rsid w:val="00A94BA3"/>
    <w:rsid w:val="00AA555C"/>
    <w:rsid w:val="00AA578C"/>
    <w:rsid w:val="00AC7083"/>
    <w:rsid w:val="00AE6A54"/>
    <w:rsid w:val="00B01C7D"/>
    <w:rsid w:val="00B10A1C"/>
    <w:rsid w:val="00B3028E"/>
    <w:rsid w:val="00B30605"/>
    <w:rsid w:val="00B336AA"/>
    <w:rsid w:val="00B4400C"/>
    <w:rsid w:val="00B72BD2"/>
    <w:rsid w:val="00B73A42"/>
    <w:rsid w:val="00B80240"/>
    <w:rsid w:val="00B8215D"/>
    <w:rsid w:val="00B9630E"/>
    <w:rsid w:val="00BA0A4A"/>
    <w:rsid w:val="00BA4AC6"/>
    <w:rsid w:val="00BA7E14"/>
    <w:rsid w:val="00BE5FFF"/>
    <w:rsid w:val="00BE67D1"/>
    <w:rsid w:val="00BF6178"/>
    <w:rsid w:val="00C00A84"/>
    <w:rsid w:val="00C0180D"/>
    <w:rsid w:val="00C038F6"/>
    <w:rsid w:val="00C23E54"/>
    <w:rsid w:val="00C27413"/>
    <w:rsid w:val="00C2765D"/>
    <w:rsid w:val="00C349DD"/>
    <w:rsid w:val="00C3670E"/>
    <w:rsid w:val="00C61FAC"/>
    <w:rsid w:val="00C64ECA"/>
    <w:rsid w:val="00C70CA4"/>
    <w:rsid w:val="00C73AC1"/>
    <w:rsid w:val="00C74C5C"/>
    <w:rsid w:val="00C772B6"/>
    <w:rsid w:val="00C77FE0"/>
    <w:rsid w:val="00C8139D"/>
    <w:rsid w:val="00C82293"/>
    <w:rsid w:val="00C978A7"/>
    <w:rsid w:val="00CA3181"/>
    <w:rsid w:val="00CA46E3"/>
    <w:rsid w:val="00CB0636"/>
    <w:rsid w:val="00CC0995"/>
    <w:rsid w:val="00CC5653"/>
    <w:rsid w:val="00CC6FCD"/>
    <w:rsid w:val="00CD0420"/>
    <w:rsid w:val="00CD1B3C"/>
    <w:rsid w:val="00D04084"/>
    <w:rsid w:val="00D04F16"/>
    <w:rsid w:val="00D05E36"/>
    <w:rsid w:val="00D0738F"/>
    <w:rsid w:val="00D1626D"/>
    <w:rsid w:val="00D32315"/>
    <w:rsid w:val="00D44DEA"/>
    <w:rsid w:val="00D45992"/>
    <w:rsid w:val="00D52EAC"/>
    <w:rsid w:val="00D8764C"/>
    <w:rsid w:val="00D9258C"/>
    <w:rsid w:val="00D95852"/>
    <w:rsid w:val="00D960E2"/>
    <w:rsid w:val="00DA73CE"/>
    <w:rsid w:val="00DB353E"/>
    <w:rsid w:val="00DC1D42"/>
    <w:rsid w:val="00DC55C2"/>
    <w:rsid w:val="00DD1D80"/>
    <w:rsid w:val="00DE0A5C"/>
    <w:rsid w:val="00DF6D39"/>
    <w:rsid w:val="00E01932"/>
    <w:rsid w:val="00E044D3"/>
    <w:rsid w:val="00E06E56"/>
    <w:rsid w:val="00E07894"/>
    <w:rsid w:val="00E269AB"/>
    <w:rsid w:val="00E36B13"/>
    <w:rsid w:val="00E40CF1"/>
    <w:rsid w:val="00E57A29"/>
    <w:rsid w:val="00E61CCA"/>
    <w:rsid w:val="00EA5C2D"/>
    <w:rsid w:val="00EB10BE"/>
    <w:rsid w:val="00EB7B26"/>
    <w:rsid w:val="00ED6B34"/>
    <w:rsid w:val="00EE1AFB"/>
    <w:rsid w:val="00EF342D"/>
    <w:rsid w:val="00EF7992"/>
    <w:rsid w:val="00F0038C"/>
    <w:rsid w:val="00F041F4"/>
    <w:rsid w:val="00F14672"/>
    <w:rsid w:val="00F14922"/>
    <w:rsid w:val="00F17FA9"/>
    <w:rsid w:val="00F21323"/>
    <w:rsid w:val="00F30783"/>
    <w:rsid w:val="00F3135F"/>
    <w:rsid w:val="00F415BF"/>
    <w:rsid w:val="00F41925"/>
    <w:rsid w:val="00F5681C"/>
    <w:rsid w:val="00F611F1"/>
    <w:rsid w:val="00F63814"/>
    <w:rsid w:val="00F66EB1"/>
    <w:rsid w:val="00F75802"/>
    <w:rsid w:val="00F811E5"/>
    <w:rsid w:val="00F82BE4"/>
    <w:rsid w:val="00F976A7"/>
    <w:rsid w:val="00FA0CB2"/>
    <w:rsid w:val="00FA1218"/>
    <w:rsid w:val="00FC5D5A"/>
    <w:rsid w:val="00FD07D0"/>
    <w:rsid w:val="00FE00FD"/>
    <w:rsid w:val="00FE287E"/>
    <w:rsid w:val="00FE6A79"/>
    <w:rsid w:val="00FE7515"/>
    <w:rsid w:val="00FF7CB1"/>
    <w:rsid w:val="01306C54"/>
    <w:rsid w:val="0165B7CC"/>
    <w:rsid w:val="01794698"/>
    <w:rsid w:val="01C93C3B"/>
    <w:rsid w:val="02D93C26"/>
    <w:rsid w:val="039A4C2E"/>
    <w:rsid w:val="0488DD44"/>
    <w:rsid w:val="048C2236"/>
    <w:rsid w:val="04D341BA"/>
    <w:rsid w:val="0513DF18"/>
    <w:rsid w:val="07A55792"/>
    <w:rsid w:val="08982D7E"/>
    <w:rsid w:val="08CB02BC"/>
    <w:rsid w:val="0A0A7272"/>
    <w:rsid w:val="0A0AF139"/>
    <w:rsid w:val="0A1662AF"/>
    <w:rsid w:val="0CF76448"/>
    <w:rsid w:val="0E1DB2E5"/>
    <w:rsid w:val="0E3F874A"/>
    <w:rsid w:val="0EC87269"/>
    <w:rsid w:val="0EE96A0A"/>
    <w:rsid w:val="0EFB5D5F"/>
    <w:rsid w:val="0F349AF0"/>
    <w:rsid w:val="105741D3"/>
    <w:rsid w:val="11BC7B39"/>
    <w:rsid w:val="12060E45"/>
    <w:rsid w:val="1223E052"/>
    <w:rsid w:val="130618F1"/>
    <w:rsid w:val="14BF9C29"/>
    <w:rsid w:val="14E71785"/>
    <w:rsid w:val="1661DA64"/>
    <w:rsid w:val="172B3D28"/>
    <w:rsid w:val="177AB0E1"/>
    <w:rsid w:val="18AB413B"/>
    <w:rsid w:val="191C0AB5"/>
    <w:rsid w:val="1B269B99"/>
    <w:rsid w:val="1C407726"/>
    <w:rsid w:val="1E02F85A"/>
    <w:rsid w:val="1E21ECB1"/>
    <w:rsid w:val="1E5821E2"/>
    <w:rsid w:val="1E7F230C"/>
    <w:rsid w:val="1E86D61E"/>
    <w:rsid w:val="1EF56304"/>
    <w:rsid w:val="2014808D"/>
    <w:rsid w:val="20A2E9BA"/>
    <w:rsid w:val="225A205D"/>
    <w:rsid w:val="23BBFB2A"/>
    <w:rsid w:val="23E94599"/>
    <w:rsid w:val="24CB4C50"/>
    <w:rsid w:val="25828D98"/>
    <w:rsid w:val="25B8F339"/>
    <w:rsid w:val="25E9DFEC"/>
    <w:rsid w:val="28255A4D"/>
    <w:rsid w:val="28A78B9D"/>
    <w:rsid w:val="299F46A5"/>
    <w:rsid w:val="2B244B27"/>
    <w:rsid w:val="2BE8D580"/>
    <w:rsid w:val="2C0CE072"/>
    <w:rsid w:val="2C41B6AB"/>
    <w:rsid w:val="2C5EBD37"/>
    <w:rsid w:val="2C94E93B"/>
    <w:rsid w:val="2E3F6D35"/>
    <w:rsid w:val="2F0D2035"/>
    <w:rsid w:val="2FE1FC11"/>
    <w:rsid w:val="304DC440"/>
    <w:rsid w:val="30B5A929"/>
    <w:rsid w:val="30CD3281"/>
    <w:rsid w:val="32C017E9"/>
    <w:rsid w:val="33C621D7"/>
    <w:rsid w:val="33FB4953"/>
    <w:rsid w:val="3402EB67"/>
    <w:rsid w:val="34AF13F9"/>
    <w:rsid w:val="377B4AD5"/>
    <w:rsid w:val="37892089"/>
    <w:rsid w:val="384C55B4"/>
    <w:rsid w:val="38F72D63"/>
    <w:rsid w:val="39DC6B01"/>
    <w:rsid w:val="3B89BF67"/>
    <w:rsid w:val="3C9D99BF"/>
    <w:rsid w:val="3CD2B300"/>
    <w:rsid w:val="3D4101FF"/>
    <w:rsid w:val="3E15FC0D"/>
    <w:rsid w:val="3E526239"/>
    <w:rsid w:val="3E987648"/>
    <w:rsid w:val="3F28CE65"/>
    <w:rsid w:val="40611E4F"/>
    <w:rsid w:val="4088A53B"/>
    <w:rsid w:val="427DC647"/>
    <w:rsid w:val="4359B9D8"/>
    <w:rsid w:val="43D8DDF2"/>
    <w:rsid w:val="44BA5A44"/>
    <w:rsid w:val="44BE087A"/>
    <w:rsid w:val="4647332E"/>
    <w:rsid w:val="46D111DF"/>
    <w:rsid w:val="47631B34"/>
    <w:rsid w:val="477C3805"/>
    <w:rsid w:val="484AE984"/>
    <w:rsid w:val="487840E1"/>
    <w:rsid w:val="48C32E0A"/>
    <w:rsid w:val="49051B02"/>
    <w:rsid w:val="4B437361"/>
    <w:rsid w:val="4B676BBB"/>
    <w:rsid w:val="4B7BFCE4"/>
    <w:rsid w:val="4C8B007B"/>
    <w:rsid w:val="4D1E57B1"/>
    <w:rsid w:val="4D397E42"/>
    <w:rsid w:val="4D444A1B"/>
    <w:rsid w:val="4D4B5F84"/>
    <w:rsid w:val="4E57CE6D"/>
    <w:rsid w:val="4F6F97CB"/>
    <w:rsid w:val="4FBED5CA"/>
    <w:rsid w:val="50247597"/>
    <w:rsid w:val="5040E0AD"/>
    <w:rsid w:val="505259BC"/>
    <w:rsid w:val="50BA8673"/>
    <w:rsid w:val="51BAE4D4"/>
    <w:rsid w:val="5208FF36"/>
    <w:rsid w:val="5366A67D"/>
    <w:rsid w:val="543B8706"/>
    <w:rsid w:val="549D2A7E"/>
    <w:rsid w:val="554443DB"/>
    <w:rsid w:val="56F8F02C"/>
    <w:rsid w:val="573FC157"/>
    <w:rsid w:val="57927445"/>
    <w:rsid w:val="582774F4"/>
    <w:rsid w:val="59A2DE57"/>
    <w:rsid w:val="5B37D0EE"/>
    <w:rsid w:val="5B6C315E"/>
    <w:rsid w:val="5ECB5C62"/>
    <w:rsid w:val="5EDD11E9"/>
    <w:rsid w:val="5FDF77E0"/>
    <w:rsid w:val="61917838"/>
    <w:rsid w:val="656C5202"/>
    <w:rsid w:val="65BEA443"/>
    <w:rsid w:val="688F2F30"/>
    <w:rsid w:val="695A6CC4"/>
    <w:rsid w:val="69C6B1A9"/>
    <w:rsid w:val="6A695619"/>
    <w:rsid w:val="6ADD81AE"/>
    <w:rsid w:val="6CBCFCA8"/>
    <w:rsid w:val="6D35B65A"/>
    <w:rsid w:val="6D701C67"/>
    <w:rsid w:val="6DD96449"/>
    <w:rsid w:val="6E20FAFE"/>
    <w:rsid w:val="6E30FA98"/>
    <w:rsid w:val="6F2F0118"/>
    <w:rsid w:val="6F5C1C82"/>
    <w:rsid w:val="6FE7D249"/>
    <w:rsid w:val="717C0C09"/>
    <w:rsid w:val="726F1D8D"/>
    <w:rsid w:val="72B602A5"/>
    <w:rsid w:val="7532D85B"/>
    <w:rsid w:val="75824CA6"/>
    <w:rsid w:val="76706664"/>
    <w:rsid w:val="784B9A19"/>
    <w:rsid w:val="787247F8"/>
    <w:rsid w:val="78844417"/>
    <w:rsid w:val="7AB93009"/>
    <w:rsid w:val="7AF291BC"/>
    <w:rsid w:val="7B32086E"/>
    <w:rsid w:val="7BA49FD7"/>
    <w:rsid w:val="7C174206"/>
    <w:rsid w:val="7E38A92D"/>
    <w:rsid w:val="7E67CF0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77118"/>
  <w15:chartTrackingRefBased/>
  <w15:docId w15:val="{231AC43E-8776-4504-8E11-B9B0C76AE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 inova"/>
    <w:basedOn w:val="Normal"/>
    <w:next w:val="Normal"/>
    <w:link w:val="Heading1Char"/>
    <w:uiPriority w:val="9"/>
    <w:qFormat/>
    <w:rsid w:val="00731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1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12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2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2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2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2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2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2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inova Char"/>
    <w:basedOn w:val="DefaultParagraphFont"/>
    <w:link w:val="Heading1"/>
    <w:uiPriority w:val="9"/>
    <w:rsid w:val="007312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12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12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2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2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2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2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2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29F"/>
    <w:rPr>
      <w:rFonts w:eastAsiaTheme="majorEastAsia" w:cstheme="majorBidi"/>
      <w:color w:val="272727" w:themeColor="text1" w:themeTint="D8"/>
    </w:rPr>
  </w:style>
  <w:style w:type="paragraph" w:styleId="Title">
    <w:name w:val="Title"/>
    <w:basedOn w:val="Normal"/>
    <w:next w:val="Normal"/>
    <w:link w:val="TitleChar"/>
    <w:uiPriority w:val="10"/>
    <w:qFormat/>
    <w:rsid w:val="00731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2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2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2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29F"/>
    <w:pPr>
      <w:spacing w:before="160"/>
      <w:jc w:val="center"/>
    </w:pPr>
    <w:rPr>
      <w:i/>
      <w:iCs/>
      <w:color w:val="404040" w:themeColor="text1" w:themeTint="BF"/>
    </w:rPr>
  </w:style>
  <w:style w:type="character" w:customStyle="1" w:styleId="QuoteChar">
    <w:name w:val="Quote Char"/>
    <w:basedOn w:val="DefaultParagraphFont"/>
    <w:link w:val="Quote"/>
    <w:uiPriority w:val="29"/>
    <w:rsid w:val="0073129F"/>
    <w:rPr>
      <w:i/>
      <w:iCs/>
      <w:color w:val="404040" w:themeColor="text1" w:themeTint="BF"/>
    </w:rPr>
  </w:style>
  <w:style w:type="paragraph" w:styleId="ListParagraph">
    <w:name w:val="List Paragraph"/>
    <w:basedOn w:val="Normal"/>
    <w:qFormat/>
    <w:rsid w:val="0073129F"/>
    <w:pPr>
      <w:ind w:left="720"/>
      <w:contextualSpacing/>
    </w:pPr>
  </w:style>
  <w:style w:type="character" w:styleId="IntenseEmphasis">
    <w:name w:val="Intense Emphasis"/>
    <w:basedOn w:val="DefaultParagraphFont"/>
    <w:uiPriority w:val="21"/>
    <w:qFormat/>
    <w:rsid w:val="0073129F"/>
    <w:rPr>
      <w:i/>
      <w:iCs/>
      <w:color w:val="0F4761" w:themeColor="accent1" w:themeShade="BF"/>
    </w:rPr>
  </w:style>
  <w:style w:type="paragraph" w:styleId="IntenseQuote">
    <w:name w:val="Intense Quote"/>
    <w:basedOn w:val="Normal"/>
    <w:next w:val="Normal"/>
    <w:link w:val="IntenseQuoteChar"/>
    <w:uiPriority w:val="30"/>
    <w:qFormat/>
    <w:rsid w:val="00731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29F"/>
    <w:rPr>
      <w:i/>
      <w:iCs/>
      <w:color w:val="0F4761" w:themeColor="accent1" w:themeShade="BF"/>
    </w:rPr>
  </w:style>
  <w:style w:type="character" w:styleId="IntenseReference">
    <w:name w:val="Intense Reference"/>
    <w:basedOn w:val="DefaultParagraphFont"/>
    <w:uiPriority w:val="32"/>
    <w:qFormat/>
    <w:rsid w:val="0073129F"/>
    <w:rPr>
      <w:b/>
      <w:bCs/>
      <w:smallCaps/>
      <w:color w:val="0F4761" w:themeColor="accent1" w:themeShade="BF"/>
      <w:spacing w:val="5"/>
    </w:rPr>
  </w:style>
  <w:style w:type="paragraph" w:styleId="Header">
    <w:name w:val="header"/>
    <w:basedOn w:val="Normal"/>
    <w:link w:val="HeaderChar"/>
    <w:uiPriority w:val="99"/>
    <w:unhideWhenUsed/>
    <w:rsid w:val="007312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129F"/>
  </w:style>
  <w:style w:type="paragraph" w:styleId="Footer">
    <w:name w:val="footer"/>
    <w:aliases w:val="Portrait,FooterPort"/>
    <w:basedOn w:val="Normal"/>
    <w:link w:val="FooterChar"/>
    <w:uiPriority w:val="99"/>
    <w:unhideWhenUsed/>
    <w:rsid w:val="0073129F"/>
    <w:pPr>
      <w:tabs>
        <w:tab w:val="center" w:pos="4513"/>
        <w:tab w:val="right" w:pos="9026"/>
      </w:tabs>
      <w:spacing w:after="0" w:line="240" w:lineRule="auto"/>
    </w:pPr>
  </w:style>
  <w:style w:type="character" w:customStyle="1" w:styleId="FooterChar">
    <w:name w:val="Footer Char"/>
    <w:aliases w:val="Portrait Char,FooterPort Char"/>
    <w:basedOn w:val="DefaultParagraphFont"/>
    <w:link w:val="Footer"/>
    <w:uiPriority w:val="99"/>
    <w:rsid w:val="0073129F"/>
  </w:style>
  <w:style w:type="table" w:styleId="TableGrid">
    <w:name w:val="Table Grid"/>
    <w:basedOn w:val="TableNormal"/>
    <w:uiPriority w:val="39"/>
    <w:rsid w:val="00C018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548D3"/>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548D3"/>
    <w:rPr>
      <w:rFonts w:eastAsiaTheme="minorEastAsia"/>
      <w:kern w:val="0"/>
      <w:lang w:val="en-US"/>
      <w14:ligatures w14:val="none"/>
    </w:rPr>
  </w:style>
  <w:style w:type="table" w:customStyle="1" w:styleId="TableGrid3">
    <w:name w:val="Table Grid3"/>
    <w:basedOn w:val="TableNormal"/>
    <w:next w:val="TableGrid"/>
    <w:uiPriority w:val="59"/>
    <w:rsid w:val="007B539B"/>
    <w:pPr>
      <w:spacing w:after="0" w:line="240" w:lineRule="auto"/>
    </w:pPr>
    <w:rPr>
      <w:rFonts w:ascii="Calibri" w:eastAsia="Times New Roman" w:hAnsi="Calibri" w:cs="Times New Roman"/>
      <w:kern w:val="0"/>
      <w:lang w:val="en-A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7B539B"/>
    <w:pPr>
      <w:spacing w:after="0" w:line="240" w:lineRule="atLeast"/>
      <w:ind w:left="432"/>
    </w:pPr>
    <w:rPr>
      <w:rFonts w:ascii="Times New Roman" w:eastAsia="Times New Roman" w:hAnsi="Times New Roman" w:cs="Times New Roman"/>
      <w:snapToGrid w:val="0"/>
      <w:color w:val="000000"/>
      <w:kern w:val="0"/>
      <w:sz w:val="24"/>
      <w:szCs w:val="20"/>
      <w:lang w:val="en-US"/>
      <w14:ligatures w14:val="none"/>
    </w:rPr>
  </w:style>
  <w:style w:type="character" w:customStyle="1" w:styleId="BodyTextChar">
    <w:name w:val="Body Text Char"/>
    <w:basedOn w:val="DefaultParagraphFont"/>
    <w:link w:val="BodyText"/>
    <w:rsid w:val="007B539B"/>
    <w:rPr>
      <w:rFonts w:ascii="Times New Roman" w:eastAsia="Times New Roman" w:hAnsi="Times New Roman" w:cs="Times New Roman"/>
      <w:snapToGrid w:val="0"/>
      <w:color w:val="000000"/>
      <w:kern w:val="0"/>
      <w:sz w:val="24"/>
      <w:szCs w:val="20"/>
      <w:lang w:val="en-US"/>
      <w14:ligatures w14:val="none"/>
    </w:rPr>
  </w:style>
  <w:style w:type="paragraph" w:customStyle="1" w:styleId="paragraph">
    <w:name w:val="paragraph"/>
    <w:basedOn w:val="Normal"/>
    <w:rsid w:val="00A229BF"/>
    <w:pPr>
      <w:spacing w:before="100" w:beforeAutospacing="1" w:after="100" w:afterAutospacing="1" w:line="240" w:lineRule="auto"/>
    </w:pPr>
    <w:rPr>
      <w:rFonts w:ascii="Times New Roman" w:eastAsia="Times New Roman" w:hAnsi="Times New Roman" w:cs="Times New Roman"/>
      <w:kern w:val="0"/>
      <w:sz w:val="24"/>
      <w:szCs w:val="24"/>
      <w:lang w:val="en-AU" w:eastAsia="en-AU"/>
      <w14:ligatures w14:val="none"/>
    </w:rPr>
  </w:style>
  <w:style w:type="character" w:customStyle="1" w:styleId="normaltextrun">
    <w:name w:val="normaltextrun"/>
    <w:basedOn w:val="DefaultParagraphFont"/>
    <w:rsid w:val="00A229BF"/>
  </w:style>
  <w:style w:type="character" w:customStyle="1" w:styleId="eop">
    <w:name w:val="eop"/>
    <w:basedOn w:val="DefaultParagraphFont"/>
    <w:rsid w:val="00A229BF"/>
  </w:style>
  <w:style w:type="character" w:styleId="CommentReference">
    <w:name w:val="annotation reference"/>
    <w:basedOn w:val="DefaultParagraphFont"/>
    <w:uiPriority w:val="99"/>
    <w:semiHidden/>
    <w:unhideWhenUsed/>
    <w:rsid w:val="007E7B16"/>
    <w:rPr>
      <w:sz w:val="16"/>
      <w:szCs w:val="16"/>
    </w:rPr>
  </w:style>
  <w:style w:type="paragraph" w:styleId="CommentText">
    <w:name w:val="annotation text"/>
    <w:basedOn w:val="Normal"/>
    <w:link w:val="CommentTextChar"/>
    <w:uiPriority w:val="99"/>
    <w:unhideWhenUsed/>
    <w:rsid w:val="007E7B16"/>
    <w:pPr>
      <w:spacing w:line="240" w:lineRule="auto"/>
    </w:pPr>
    <w:rPr>
      <w:sz w:val="20"/>
      <w:szCs w:val="20"/>
    </w:rPr>
  </w:style>
  <w:style w:type="character" w:customStyle="1" w:styleId="CommentTextChar">
    <w:name w:val="Comment Text Char"/>
    <w:basedOn w:val="DefaultParagraphFont"/>
    <w:link w:val="CommentText"/>
    <w:uiPriority w:val="99"/>
    <w:rsid w:val="007E7B16"/>
    <w:rPr>
      <w:sz w:val="20"/>
      <w:szCs w:val="20"/>
    </w:rPr>
  </w:style>
  <w:style w:type="paragraph" w:styleId="CommentSubject">
    <w:name w:val="annotation subject"/>
    <w:basedOn w:val="CommentText"/>
    <w:next w:val="CommentText"/>
    <w:link w:val="CommentSubjectChar"/>
    <w:uiPriority w:val="99"/>
    <w:semiHidden/>
    <w:unhideWhenUsed/>
    <w:rsid w:val="007E7B16"/>
    <w:rPr>
      <w:b/>
      <w:bCs/>
    </w:rPr>
  </w:style>
  <w:style w:type="character" w:customStyle="1" w:styleId="CommentSubjectChar">
    <w:name w:val="Comment Subject Char"/>
    <w:basedOn w:val="CommentTextChar"/>
    <w:link w:val="CommentSubject"/>
    <w:uiPriority w:val="99"/>
    <w:semiHidden/>
    <w:rsid w:val="007E7B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544">
      <w:bodyDiv w:val="1"/>
      <w:marLeft w:val="0"/>
      <w:marRight w:val="0"/>
      <w:marTop w:val="0"/>
      <w:marBottom w:val="0"/>
      <w:divBdr>
        <w:top w:val="none" w:sz="0" w:space="0" w:color="auto"/>
        <w:left w:val="none" w:sz="0" w:space="0" w:color="auto"/>
        <w:bottom w:val="none" w:sz="0" w:space="0" w:color="auto"/>
        <w:right w:val="none" w:sz="0" w:space="0" w:color="auto"/>
      </w:divBdr>
    </w:div>
    <w:div w:id="116217699">
      <w:bodyDiv w:val="1"/>
      <w:marLeft w:val="0"/>
      <w:marRight w:val="0"/>
      <w:marTop w:val="0"/>
      <w:marBottom w:val="0"/>
      <w:divBdr>
        <w:top w:val="none" w:sz="0" w:space="0" w:color="auto"/>
        <w:left w:val="none" w:sz="0" w:space="0" w:color="auto"/>
        <w:bottom w:val="none" w:sz="0" w:space="0" w:color="auto"/>
        <w:right w:val="none" w:sz="0" w:space="0" w:color="auto"/>
      </w:divBdr>
    </w:div>
    <w:div w:id="174422208">
      <w:bodyDiv w:val="1"/>
      <w:marLeft w:val="0"/>
      <w:marRight w:val="0"/>
      <w:marTop w:val="0"/>
      <w:marBottom w:val="0"/>
      <w:divBdr>
        <w:top w:val="none" w:sz="0" w:space="0" w:color="auto"/>
        <w:left w:val="none" w:sz="0" w:space="0" w:color="auto"/>
        <w:bottom w:val="none" w:sz="0" w:space="0" w:color="auto"/>
        <w:right w:val="none" w:sz="0" w:space="0" w:color="auto"/>
      </w:divBdr>
    </w:div>
    <w:div w:id="412288450">
      <w:bodyDiv w:val="1"/>
      <w:marLeft w:val="0"/>
      <w:marRight w:val="0"/>
      <w:marTop w:val="0"/>
      <w:marBottom w:val="0"/>
      <w:divBdr>
        <w:top w:val="none" w:sz="0" w:space="0" w:color="auto"/>
        <w:left w:val="none" w:sz="0" w:space="0" w:color="auto"/>
        <w:bottom w:val="none" w:sz="0" w:space="0" w:color="auto"/>
        <w:right w:val="none" w:sz="0" w:space="0" w:color="auto"/>
      </w:divBdr>
    </w:div>
    <w:div w:id="501746752">
      <w:bodyDiv w:val="1"/>
      <w:marLeft w:val="0"/>
      <w:marRight w:val="0"/>
      <w:marTop w:val="0"/>
      <w:marBottom w:val="0"/>
      <w:divBdr>
        <w:top w:val="none" w:sz="0" w:space="0" w:color="auto"/>
        <w:left w:val="none" w:sz="0" w:space="0" w:color="auto"/>
        <w:bottom w:val="none" w:sz="0" w:space="0" w:color="auto"/>
        <w:right w:val="none" w:sz="0" w:space="0" w:color="auto"/>
      </w:divBdr>
    </w:div>
    <w:div w:id="534587229">
      <w:bodyDiv w:val="1"/>
      <w:marLeft w:val="0"/>
      <w:marRight w:val="0"/>
      <w:marTop w:val="0"/>
      <w:marBottom w:val="0"/>
      <w:divBdr>
        <w:top w:val="none" w:sz="0" w:space="0" w:color="auto"/>
        <w:left w:val="none" w:sz="0" w:space="0" w:color="auto"/>
        <w:bottom w:val="none" w:sz="0" w:space="0" w:color="auto"/>
        <w:right w:val="none" w:sz="0" w:space="0" w:color="auto"/>
      </w:divBdr>
    </w:div>
    <w:div w:id="586034831">
      <w:bodyDiv w:val="1"/>
      <w:marLeft w:val="0"/>
      <w:marRight w:val="0"/>
      <w:marTop w:val="0"/>
      <w:marBottom w:val="0"/>
      <w:divBdr>
        <w:top w:val="none" w:sz="0" w:space="0" w:color="auto"/>
        <w:left w:val="none" w:sz="0" w:space="0" w:color="auto"/>
        <w:bottom w:val="none" w:sz="0" w:space="0" w:color="auto"/>
        <w:right w:val="none" w:sz="0" w:space="0" w:color="auto"/>
      </w:divBdr>
    </w:div>
    <w:div w:id="664820992">
      <w:bodyDiv w:val="1"/>
      <w:marLeft w:val="0"/>
      <w:marRight w:val="0"/>
      <w:marTop w:val="0"/>
      <w:marBottom w:val="0"/>
      <w:divBdr>
        <w:top w:val="none" w:sz="0" w:space="0" w:color="auto"/>
        <w:left w:val="none" w:sz="0" w:space="0" w:color="auto"/>
        <w:bottom w:val="none" w:sz="0" w:space="0" w:color="auto"/>
        <w:right w:val="none" w:sz="0" w:space="0" w:color="auto"/>
      </w:divBdr>
    </w:div>
    <w:div w:id="821851282">
      <w:bodyDiv w:val="1"/>
      <w:marLeft w:val="0"/>
      <w:marRight w:val="0"/>
      <w:marTop w:val="0"/>
      <w:marBottom w:val="0"/>
      <w:divBdr>
        <w:top w:val="none" w:sz="0" w:space="0" w:color="auto"/>
        <w:left w:val="none" w:sz="0" w:space="0" w:color="auto"/>
        <w:bottom w:val="none" w:sz="0" w:space="0" w:color="auto"/>
        <w:right w:val="none" w:sz="0" w:space="0" w:color="auto"/>
      </w:divBdr>
    </w:div>
    <w:div w:id="850535059">
      <w:bodyDiv w:val="1"/>
      <w:marLeft w:val="0"/>
      <w:marRight w:val="0"/>
      <w:marTop w:val="0"/>
      <w:marBottom w:val="0"/>
      <w:divBdr>
        <w:top w:val="none" w:sz="0" w:space="0" w:color="auto"/>
        <w:left w:val="none" w:sz="0" w:space="0" w:color="auto"/>
        <w:bottom w:val="none" w:sz="0" w:space="0" w:color="auto"/>
        <w:right w:val="none" w:sz="0" w:space="0" w:color="auto"/>
      </w:divBdr>
    </w:div>
    <w:div w:id="854538720">
      <w:bodyDiv w:val="1"/>
      <w:marLeft w:val="0"/>
      <w:marRight w:val="0"/>
      <w:marTop w:val="0"/>
      <w:marBottom w:val="0"/>
      <w:divBdr>
        <w:top w:val="none" w:sz="0" w:space="0" w:color="auto"/>
        <w:left w:val="none" w:sz="0" w:space="0" w:color="auto"/>
        <w:bottom w:val="none" w:sz="0" w:space="0" w:color="auto"/>
        <w:right w:val="none" w:sz="0" w:space="0" w:color="auto"/>
      </w:divBdr>
    </w:div>
    <w:div w:id="996490953">
      <w:bodyDiv w:val="1"/>
      <w:marLeft w:val="0"/>
      <w:marRight w:val="0"/>
      <w:marTop w:val="0"/>
      <w:marBottom w:val="0"/>
      <w:divBdr>
        <w:top w:val="none" w:sz="0" w:space="0" w:color="auto"/>
        <w:left w:val="none" w:sz="0" w:space="0" w:color="auto"/>
        <w:bottom w:val="none" w:sz="0" w:space="0" w:color="auto"/>
        <w:right w:val="none" w:sz="0" w:space="0" w:color="auto"/>
      </w:divBdr>
    </w:div>
    <w:div w:id="1104497179">
      <w:bodyDiv w:val="1"/>
      <w:marLeft w:val="0"/>
      <w:marRight w:val="0"/>
      <w:marTop w:val="0"/>
      <w:marBottom w:val="0"/>
      <w:divBdr>
        <w:top w:val="none" w:sz="0" w:space="0" w:color="auto"/>
        <w:left w:val="none" w:sz="0" w:space="0" w:color="auto"/>
        <w:bottom w:val="none" w:sz="0" w:space="0" w:color="auto"/>
        <w:right w:val="none" w:sz="0" w:space="0" w:color="auto"/>
      </w:divBdr>
    </w:div>
    <w:div w:id="1284536855">
      <w:bodyDiv w:val="1"/>
      <w:marLeft w:val="0"/>
      <w:marRight w:val="0"/>
      <w:marTop w:val="0"/>
      <w:marBottom w:val="0"/>
      <w:divBdr>
        <w:top w:val="none" w:sz="0" w:space="0" w:color="auto"/>
        <w:left w:val="none" w:sz="0" w:space="0" w:color="auto"/>
        <w:bottom w:val="none" w:sz="0" w:space="0" w:color="auto"/>
        <w:right w:val="none" w:sz="0" w:space="0" w:color="auto"/>
      </w:divBdr>
    </w:div>
    <w:div w:id="1294991741">
      <w:bodyDiv w:val="1"/>
      <w:marLeft w:val="0"/>
      <w:marRight w:val="0"/>
      <w:marTop w:val="0"/>
      <w:marBottom w:val="0"/>
      <w:divBdr>
        <w:top w:val="none" w:sz="0" w:space="0" w:color="auto"/>
        <w:left w:val="none" w:sz="0" w:space="0" w:color="auto"/>
        <w:bottom w:val="none" w:sz="0" w:space="0" w:color="auto"/>
        <w:right w:val="none" w:sz="0" w:space="0" w:color="auto"/>
      </w:divBdr>
    </w:div>
    <w:div w:id="1505626059">
      <w:bodyDiv w:val="1"/>
      <w:marLeft w:val="0"/>
      <w:marRight w:val="0"/>
      <w:marTop w:val="0"/>
      <w:marBottom w:val="0"/>
      <w:divBdr>
        <w:top w:val="none" w:sz="0" w:space="0" w:color="auto"/>
        <w:left w:val="none" w:sz="0" w:space="0" w:color="auto"/>
        <w:bottom w:val="none" w:sz="0" w:space="0" w:color="auto"/>
        <w:right w:val="none" w:sz="0" w:space="0" w:color="auto"/>
      </w:divBdr>
    </w:div>
    <w:div w:id="1828397117">
      <w:bodyDiv w:val="1"/>
      <w:marLeft w:val="0"/>
      <w:marRight w:val="0"/>
      <w:marTop w:val="0"/>
      <w:marBottom w:val="0"/>
      <w:divBdr>
        <w:top w:val="none" w:sz="0" w:space="0" w:color="auto"/>
        <w:left w:val="none" w:sz="0" w:space="0" w:color="auto"/>
        <w:bottom w:val="none" w:sz="0" w:space="0" w:color="auto"/>
        <w:right w:val="none" w:sz="0" w:space="0" w:color="auto"/>
      </w:divBdr>
    </w:div>
    <w:div w:id="1905752868">
      <w:marLeft w:val="0"/>
      <w:marRight w:val="0"/>
      <w:marTop w:val="0"/>
      <w:marBottom w:val="0"/>
      <w:divBdr>
        <w:top w:val="none" w:sz="0" w:space="0" w:color="auto"/>
        <w:left w:val="none" w:sz="0" w:space="0" w:color="auto"/>
        <w:bottom w:val="none" w:sz="0" w:space="0" w:color="auto"/>
        <w:right w:val="none" w:sz="0" w:space="0" w:color="auto"/>
      </w:divBdr>
    </w:div>
    <w:div w:id="1909338892">
      <w:bodyDiv w:val="1"/>
      <w:marLeft w:val="0"/>
      <w:marRight w:val="0"/>
      <w:marTop w:val="0"/>
      <w:marBottom w:val="0"/>
      <w:divBdr>
        <w:top w:val="none" w:sz="0" w:space="0" w:color="auto"/>
        <w:left w:val="none" w:sz="0" w:space="0" w:color="auto"/>
        <w:bottom w:val="none" w:sz="0" w:space="0" w:color="auto"/>
        <w:right w:val="none" w:sz="0" w:space="0" w:color="auto"/>
      </w:divBdr>
    </w:div>
    <w:div w:id="2056811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png"/><Relationship Id="rId6" Type="http://schemas.openxmlformats.org/officeDocument/2006/relationships/image" Target="media/image22.png"/><Relationship Id="rId5" Type="http://schemas.openxmlformats.org/officeDocument/2006/relationships/image" Target="media/image21.png"/><Relationship Id="rId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c26ce64-f33d-40a2-bede-31a7360585bd" xsi:nil="true"/>
    <lcf76f155ced4ddcb4097134ff3c332f xmlns="385ba199-bd2a-40d6-a5e1-5425d6bd50d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E2BB112AC3E1F468CA2E79034BA3331" ma:contentTypeVersion="12" ma:contentTypeDescription="Create a new document." ma:contentTypeScope="" ma:versionID="fcbe47f9b63af01b59482de3c3b568a1">
  <xsd:schema xmlns:xsd="http://www.w3.org/2001/XMLSchema" xmlns:xs="http://www.w3.org/2001/XMLSchema" xmlns:p="http://schemas.microsoft.com/office/2006/metadata/properties" xmlns:ns2="385ba199-bd2a-40d6-a5e1-5425d6bd50d3" xmlns:ns3="4c26ce64-f33d-40a2-bede-31a7360585bd" targetNamespace="http://schemas.microsoft.com/office/2006/metadata/properties" ma:root="true" ma:fieldsID="29562e68429b70fc174da0d903644db5" ns2:_="" ns3:_="">
    <xsd:import namespace="385ba199-bd2a-40d6-a5e1-5425d6bd50d3"/>
    <xsd:import namespace="4c26ce64-f33d-40a2-bede-31a7360585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5ba199-bd2a-40d6-a5e1-5425d6bd5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f99fb4dc-a393-49ae-ab2a-6ba9af3f6ff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c26ce64-f33d-40a2-bede-31a7360585bd"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33716e5a-c224-4578-b739-f1370019e64d}" ma:internalName="TaxCatchAll" ma:showField="CatchAllData" ma:web="4c26ce64-f33d-40a2-bede-31a7360585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74AC9DB-18C7-4692-8DA9-731FAB0AD532}">
  <ds:schemaRefs>
    <ds:schemaRef ds:uri="http://schemas.microsoft.com/office/2006/metadata/properties"/>
    <ds:schemaRef ds:uri="http://schemas.microsoft.com/office/infopath/2007/PartnerControls"/>
    <ds:schemaRef ds:uri="4c26ce64-f33d-40a2-bede-31a7360585bd"/>
    <ds:schemaRef ds:uri="385ba199-bd2a-40d6-a5e1-5425d6bd50d3"/>
  </ds:schemaRefs>
</ds:datastoreItem>
</file>

<file path=customXml/itemProps2.xml><?xml version="1.0" encoding="utf-8"?>
<ds:datastoreItem xmlns:ds="http://schemas.openxmlformats.org/officeDocument/2006/customXml" ds:itemID="{ED32F293-98A5-49E4-A6CD-5DFE82AF45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5ba199-bd2a-40d6-a5e1-5425d6bd50d3"/>
    <ds:schemaRef ds:uri="4c26ce64-f33d-40a2-bede-31a7360585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AF7284E-01E3-480F-AE32-5EAF02DB3B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1264</Words>
  <Characters>7210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SWI-PRO-MET-201-003 - Leach Tank Sampling Round - 031-TK-001 Launder and Discharge</dc:title>
  <dc:subject/>
  <dc:creator>Monique Balderson</dc:creator>
  <cp:keywords/>
  <dc:description/>
  <cp:lastModifiedBy>Hilman Hidayat</cp:lastModifiedBy>
  <cp:revision>2</cp:revision>
  <cp:lastPrinted>2025-08-08T14:45:00Z</cp:lastPrinted>
  <dcterms:created xsi:type="dcterms:W3CDTF">2026-10-02T09:03:00Z</dcterms:created>
  <dcterms:modified xsi:type="dcterms:W3CDTF">2026-10-02T09:03:00Z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0x0101009E2BB112AC3E1F468CA2E79034BA3331</vt:lpwstr>
  </property>
  <property fmtid="{D5CDD505-2E9C-101B-9397-08002B2CF9AE}" pid="3" name="MediaServiceImageTags">
    <vt:lpwstr/>
  </property>
</Properties>
</file>