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Flocculant Screening and Dose Optimisation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'Settling Test with Variance %Strength Flocc' (22/03/2025) added as Section 6 Part B. Not approved until reviewed. JSEA JSEA-PRO-MET-204-010 must be checked against the added steps.</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Compare flocculant types and doses to find the cheapest one that does the job.</w:t>
      </w:r>
    </w:p>
    <w:p>
      <w:pPr>
        <w:spacing w:after="60" w:before="0" w:line="245"/>
      </w:pPr>
      <w:r>
        <w:rPr>
          <w:rFonts w:ascii="Calibri" w:cs="Calibri" w:eastAsia="Calibri" w:hAnsi="Calibri"/>
          <w:sz w:val="17"/>
          <w:szCs w:val="17"/>
        </w:rPr>
        <w:t xml:space="preserve">Flocculant is a significant consumable and the wrong grade costs both money and thickener performance.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 a flocculant change is proposed.</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SWI-PRO-MET-204-010 in HM-MMM-WHS-REG-XXX-R00-SWI-SWMS, tab SWI-MET. The matching hazard analysis is JSEA-PRO-MET-204-010.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JSEA-PRO-MET-204-010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JSEA-PRO-MET-204-010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Settling cylinders - NOT PURCHASED</w:t>
      </w:r>
    </w:p>
    <w:p>
      <w:pPr>
        <w:pStyle w:val="ListParagraph"/>
        <w:numPr>
          <w:ilvl w:val="0"/>
          <w:numId w:val="1"/>
        </w:numPr>
        <w:spacing w:after="60" w:line="245"/>
      </w:pPr>
      <w:r>
        <w:rPr>
          <w:rFonts w:ascii="Calibri" w:cs="Calibri" w:eastAsia="Calibri" w:hAnsi="Calibri"/>
          <w:sz w:val="17"/>
          <w:szCs w:val="17"/>
        </w:rPr>
        <w:t xml:space="preserve">Flocculant samples from candidate suppliers</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Pipettes</w:t>
      </w:r>
    </w:p>
    <w:p>
      <w:pPr>
        <w:pStyle w:val="ListParagraph"/>
        <w:numPr>
          <w:ilvl w:val="0"/>
          <w:numId w:val="1"/>
        </w:numPr>
        <w:spacing w:after="60" w:line="245"/>
      </w:pPr>
      <w:r>
        <w:rPr>
          <w:rFonts w:ascii="Calibri" w:cs="Calibri" w:eastAsia="Calibri" w:hAnsi="Calibri"/>
          <w:sz w:val="17"/>
          <w:szCs w:val="17"/>
        </w:rPr>
        <w:t xml:space="preserve">Plunger</w:t>
      </w:r>
    </w:p>
    <w:p>
      <w:pPr>
        <w:pStyle w:val="ListParagraph"/>
        <w:numPr>
          <w:ilvl w:val="0"/>
          <w:numId w:val="1"/>
        </w:numPr>
        <w:spacing w:after="60" w:line="245"/>
      </w:pPr>
      <w:r>
        <w:rPr>
          <w:rFonts w:ascii="Calibri" w:cs="Calibri" w:eastAsia="Calibri" w:hAnsi="Calibri"/>
          <w:sz w:val="17"/>
          <w:szCs w:val="17"/>
        </w:rPr>
        <w:t xml:space="preserve">[M] Balance, 1 L graduated cylinders (4 per test set), syringe, beakers, 250 mL sample bottles, vertical stirrer, filter press, drying oven</w:t>
      </w:r>
    </w:p>
    <w:p>
      <w:pPr>
        <w:pStyle w:val="ListParagraph"/>
        <w:numPr>
          <w:ilvl w:val="0"/>
          <w:numId w:val="1"/>
        </w:numPr>
        <w:spacing w:after="60" w:line="245"/>
      </w:pPr>
      <w:r>
        <w:rPr>
          <w:rFonts w:ascii="Calibri" w:cs="Calibri" w:eastAsia="Calibri" w:hAnsi="Calibri"/>
          <w:sz w:val="17"/>
          <w:szCs w:val="17"/>
        </w:rPr>
        <w:t xml:space="preserve">[M] Laboratory flocculant, process water, acetone; Martabe slurry characterisation spreadsheet (density to per cent solids)</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Flocculant type and dose comparison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settling cylinders and a flocculant test rig are available before planning the test.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Make up each candidate flocculant at the same strength and ageing time.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Run the settling test at a fixed dose across all candidates first, to shortlist.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Run the dose response on the shortlist.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settling rate, overflow clarity and underflow density for each.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Cost each option per tonne treated at its optimum dose.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against the plant flocculant basis in the Roytec control philosophies.</w:t>
      </w:r>
    </w:p>
    <w:p>
      <w:pPr>
        <w:spacing w:after="90" w:before="180" w:line="245"/>
        <w:keepNext/>
      </w:pPr>
      <w:r>
        <w:rPr>
          <w:rFonts w:ascii="Calibri" w:cs="Calibri" w:eastAsia="Calibri" w:hAnsi="Calibri"/>
          <w:b/>
          <w:bCs/>
          <w:color w:val="1F3864"/>
          <w:sz w:val="19"/>
          <w:szCs w:val="19"/>
        </w:rPr>
        <w:t xml:space="preserve">Part B - Settling test with flocculant solution strength variance [M]</w:t>
      </w:r>
    </w:p>
    <w:p>
      <w:pPr>
        <w:spacing w:after="60" w:before="0" w:line="245"/>
      </w:pPr>
      <w:r>
        <w:rPr>
          <w:rFonts w:ascii="Calibri" w:cs="Calibri" w:eastAsia="Calibri" w:hAnsi="Calibri"/>
          <w:sz w:val="17"/>
          <w:szCs w:val="17"/>
        </w:rPr>
        <w:t xml:space="preserve">[M] = taken from the Martabe team work instruction "Settling Test with Variance %Strength Flocc" (22/03/2025).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find the settling time at each flocculant solution strength. Part A holds the make-up strength constant; Part B varies it at 0.35, 0.40, 0.45 and 0.50 per cent. [CONFIRM] Section 5 lists settling cylinders as NOT PURCHASED; the source uses plain 1 L graduated cylinders - confirm these are acceptable.</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Make up flocculant solutions at 0.35, 0.40, 0.45 and 0.50 per cent with process water (Martabe SOP for flocculant make-up, not yet received).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Stir the tailing sample until even with the vertical stirrer.</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Put 1 L of tailing slurry in a graduated cylinder and weigh it. Prepare 4 cylinders for one test set.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Check the weight difference between cylinders is below 4 g. If it is above 4 g, stir again and repeat the previous step.</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Open the slurry characterisation spreadsheet. Enter ore density 2.6 t/m3. Enter the 1 L slurry weight as pulp density (RHOP): 1.5 kg per litre is entered as 1.5 (1.5 kg/L = 1.5 t/m3). Read off solids mass and per cent solids.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the solution strength and the dose.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Flocculant volume to add (mL) = 100 x solids mass (g) / 1,000,000 x 100 / 0.5. [CONFIRM] the source writes 100 and 0.5 as fixed numbers; read as dose in g/t (100) and solution strength in per cent (0.5), and replace them with the actual dose and strength for each cylinder.</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Add flocculant at doses of 70, 80, 90 and 100 g/t. [CONFIRM] how the 4 strengths and 4 doses are laid out across the 4 cylinders of a set is not stated.</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Mix the sample with the stirring rod 8 times.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Record the solids level at minute 5, 10, 15, 30, 60 and at 24 hours and 48 hours. [CONFIRM] source reads '60, 24 jam, 48 jam'; minute 60 is assumed.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Separate the solids from the water with the filter press.</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Dry the sample in the oven and weigh it dry to correct the dose to g/t.</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4034-019-VE-006 Roytec Model 01 and 4034-019B-VE-007 Model 05 flocculant plant control philosophies, received 11 Aug 2026 - the plant make-up concentration and dose basis</w:t>
      </w:r>
    </w:p>
    <w:p>
      <w:pPr>
        <w:pStyle w:val="ListParagraph"/>
        <w:numPr>
          <w:ilvl w:val="0"/>
          <w:numId w:val="1"/>
        </w:numPr>
        <w:spacing w:after="60" w:line="245"/>
      </w:pPr>
      <w:r>
        <w:rPr>
          <w:rFonts w:ascii="Calibri" w:cs="Calibri" w:eastAsia="Calibri" w:hAnsi="Calibri"/>
          <w:sz w:val="17"/>
          <w:szCs w:val="17"/>
        </w:rPr>
        <w:t xml:space="preserve">Martabe work instruction 'Settling Test with Variance %Strength Flocc' (Indonesian, 22/03/2025)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SWI-PRO-MET-204-010  ·  Flocculant Screening and Dose Optimisation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