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Preparation of Standard and Working Solutions</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SWI-PRO-MET-205-017</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JSEA-PRO-MET-205-017</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 'Testwork QC Expired Reagent' (28/03/2025) added as Section 6 Part B. It allows an out-of-date indicator or desiccant to be re-qualified, which differs from Part A step 2. Not approved until the policy is accepted and reviewed. JSEA JSEA-PRO-MET-205-017 must be checked.</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Make up the standard and working solutions the laboratory runs on.</w:t>
      </w:r>
    </w:p>
    <w:p>
      <w:pPr>
        <w:spacing w:after="60" w:before="0" w:line="245"/>
      </w:pPr>
      <w:r>
        <w:rPr>
          <w:rFonts w:ascii="Calibri" w:cs="Calibri" w:eastAsia="Calibri" w:hAnsi="Calibri"/>
          <w:sz w:val="17"/>
          <w:szCs w:val="17"/>
        </w:rPr>
        <w:t xml:space="preserve">Every titration result is only as good as the standard it was titrated against.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As the solution register requires; standards re-standardised at the set interval.</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SWI-PRO-MET-205-017 in HM-MMM-WHS-REG-XXX-R00-SWI-SWMS, tab SWI-MET. The matching hazard analysis is JSEA-PRO-MET-205-017.</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JSEA-PRO-MET-205-017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sodium hydroxide solution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chemical PPE including face shield and chemical-resistant gloves. Sample drawn slowly from the designated valve. Safety shower and eyewash within reach and proven flowing.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96 per cent ethanol (flammable) near the drying oven, and dilute acid and alkali used for indicator checks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Ethanol used in small volumes in the fume cupboard, away from the oven and ignition sources, container closed after use. Dilute acid and alkali handled with splash goggles and chemical-resistant gloves. Waste to the correct stream.</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JSEA-PRO-MET-205-017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Analytical balance 0.1 mg</w:t>
      </w:r>
    </w:p>
    <w:p>
      <w:pPr>
        <w:pStyle w:val="ListParagraph"/>
        <w:numPr>
          <w:ilvl w:val="0"/>
          <w:numId w:val="1"/>
        </w:numPr>
        <w:spacing w:after="60" w:line="245"/>
      </w:pPr>
      <w:r>
        <w:rPr>
          <w:rFonts w:ascii="Calibri" w:cs="Calibri" w:eastAsia="Calibri" w:hAnsi="Calibri"/>
          <w:sz w:val="17"/>
          <w:szCs w:val="17"/>
        </w:rPr>
        <w:t xml:space="preserve">Class F1 weight set</w:t>
      </w:r>
    </w:p>
    <w:p>
      <w:pPr>
        <w:pStyle w:val="ListParagraph"/>
        <w:numPr>
          <w:ilvl w:val="0"/>
          <w:numId w:val="1"/>
        </w:numPr>
        <w:spacing w:after="60" w:line="245"/>
      </w:pPr>
      <w:r>
        <w:rPr>
          <w:rFonts w:ascii="Calibri" w:cs="Calibri" w:eastAsia="Calibri" w:hAnsi="Calibri"/>
          <w:sz w:val="17"/>
          <w:szCs w:val="17"/>
        </w:rPr>
        <w:t xml:space="preserve">Volumetric flasks</w:t>
      </w:r>
    </w:p>
    <w:p>
      <w:pPr>
        <w:pStyle w:val="ListParagraph"/>
        <w:numPr>
          <w:ilvl w:val="0"/>
          <w:numId w:val="1"/>
        </w:numPr>
        <w:spacing w:after="60" w:line="245"/>
      </w:pPr>
      <w:r>
        <w:rPr>
          <w:rFonts w:ascii="Calibri" w:cs="Calibri" w:eastAsia="Calibri" w:hAnsi="Calibri"/>
          <w:sz w:val="17"/>
          <w:szCs w:val="17"/>
        </w:rPr>
        <w:t xml:space="preserve">Pipettes</w:t>
      </w:r>
    </w:p>
    <w:p>
      <w:pPr>
        <w:pStyle w:val="ListParagraph"/>
        <w:numPr>
          <w:ilvl w:val="0"/>
          <w:numId w:val="1"/>
        </w:numPr>
        <w:spacing w:after="60" w:line="245"/>
      </w:pPr>
      <w:r>
        <w:rPr>
          <w:rFonts w:ascii="Calibri" w:cs="Calibri" w:eastAsia="Calibri" w:hAnsi="Calibri"/>
          <w:sz w:val="17"/>
          <w:szCs w:val="17"/>
        </w:rPr>
        <w:t xml:space="preserve">Distilled or RO/DI water</w:t>
      </w:r>
    </w:p>
    <w:p>
      <w:pPr>
        <w:pStyle w:val="ListParagraph"/>
        <w:numPr>
          <w:ilvl w:val="0"/>
          <w:numId w:val="1"/>
        </w:numPr>
        <w:spacing w:after="60" w:line="245"/>
      </w:pPr>
      <w:r>
        <w:rPr>
          <w:rFonts w:ascii="Calibri" w:cs="Calibri" w:eastAsia="Calibri" w:hAnsi="Calibri"/>
          <w:sz w:val="17"/>
          <w:szCs w:val="17"/>
        </w:rPr>
        <w:t xml:space="preserve">Fume cupboard</w:t>
      </w:r>
    </w:p>
    <w:p>
      <w:pPr>
        <w:pStyle w:val="ListParagraph"/>
        <w:numPr>
          <w:ilvl w:val="0"/>
          <w:numId w:val="1"/>
        </w:numPr>
        <w:spacing w:after="60" w:line="245"/>
      </w:pPr>
      <w:r>
        <w:rPr>
          <w:rFonts w:ascii="Calibri" w:cs="Calibri" w:eastAsia="Calibri" w:hAnsi="Calibri"/>
          <w:sz w:val="17"/>
          <w:szCs w:val="17"/>
        </w:rPr>
        <w:t xml:space="preserve">Reagent chemicals in date</w:t>
      </w:r>
    </w:p>
    <w:p>
      <w:pPr>
        <w:pStyle w:val="ListParagraph"/>
        <w:numPr>
          <w:ilvl w:val="0"/>
          <w:numId w:val="1"/>
        </w:numPr>
        <w:spacing w:after="60" w:line="245"/>
      </w:pPr>
      <w:r>
        <w:rPr>
          <w:rFonts w:ascii="Calibri" w:cs="Calibri" w:eastAsia="Calibri" w:hAnsi="Calibri"/>
          <w:sz w:val="17"/>
          <w:szCs w:val="17"/>
        </w:rPr>
        <w:t xml:space="preserve">Amber bottles and labels</w:t>
      </w:r>
    </w:p>
    <w:p>
      <w:pPr>
        <w:pStyle w:val="ListParagraph"/>
        <w:numPr>
          <w:ilvl w:val="0"/>
          <w:numId w:val="1"/>
        </w:numPr>
        <w:spacing w:after="60" w:line="245"/>
      </w:pPr>
      <w:r>
        <w:rPr>
          <w:rFonts w:ascii="Calibri" w:cs="Calibri" w:eastAsia="Calibri" w:hAnsi="Calibri"/>
          <w:sz w:val="17"/>
          <w:szCs w:val="17"/>
        </w:rPr>
        <w:t xml:space="preserve">[M] Drying oven, 96 per cent ethanol, diluted NaOH, diluted HCl or H2SO4, phenolphthalein powder, silica gel</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Preparing standard and working solutions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Check the balance verification is current before weighing any standard.</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Use only reagents in date and correctly labelled. A reagent of unknown age does not make a standard.</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Weigh the primary standard on the analytical balance and record the exact mass.</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Dissolve and make up to the mark in a volumetric flask at the reference temperature.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Standardise the solution against a primary standard where the method requires it, and record the factor.</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Label every solution with its identity, concentration, preparation date, expiry and the preparer's initials. An unlabelled solution is discarded, not guessed at.</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Store light-sensitive solutions such as silver nitrate in amber bottles away from light.</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Record the preparation in the solution register and re-standardise at the set interval.</w:t>
      </w:r>
    </w:p>
    <w:p>
      <w:pPr>
        <w:spacing w:after="90" w:before="180" w:line="245"/>
        <w:keepNext/>
      </w:pPr>
      <w:r>
        <w:rPr>
          <w:rFonts w:ascii="Calibri" w:cs="Calibri" w:eastAsia="Calibri" w:hAnsi="Calibri"/>
          <w:b/>
          <w:bCs/>
          <w:color w:val="1F3864"/>
          <w:sz w:val="19"/>
          <w:szCs w:val="19"/>
        </w:rPr>
        <w:t xml:space="preserve">Part B - Re-qualifying expired phenolphthalein and silica gel [M]</w:t>
      </w:r>
    </w:p>
    <w:p>
      <w:pPr>
        <w:spacing w:after="60" w:before="0" w:line="245"/>
      </w:pPr>
      <w:r>
        <w:rPr>
          <w:rFonts w:ascii="Calibri" w:cs="Calibri" w:eastAsia="Calibri" w:hAnsi="Calibri"/>
          <w:sz w:val="17"/>
          <w:szCs w:val="17"/>
        </w:rPr>
        <w:t xml:space="preserve">[M] = taken from the Martabe team work instruction "Testwork QC Expired Reagent" (28/03/2025). [CONFIRM] = unspecified or inconsistent in the source; resolve before this instruction is approved for use. Part A (original steps) is unchanged.</w:t>
      </w:r>
    </w:p>
    <w:p>
      <w:pPr>
        <w:spacing w:after="60" w:before="0" w:line="245"/>
      </w:pPr>
      <w:r>
        <w:rPr>
          <w:rFonts w:ascii="Calibri" w:cs="Calibri" w:eastAsia="Calibri" w:hAnsi="Calibri"/>
          <w:b/>
          <w:sz w:val="17"/>
          <w:szCs w:val="17"/>
        </w:rPr>
        <w:t xml:space="preserve">Purpose [M]: find out whether an expired reagent can still be used. Policy point: Part A step 2 says only in-date reagents are used. Part B re-qualifies two items only, phenolphthalein indicator and silica gel. It must NOT be applied to standards, primary reagents or cyanide. [CONFIRM] approval of this policy by the Metallurgy Superintendent; the related Martabe system is DOC-IV-MET-CHH-SOP-00039 Metallurgy Reagent Lifetime Management System (not received).</w:t>
      </w:r>
    </w:p>
    <w:p>
      <w:pPr>
        <w:spacing w:after="60" w:before="0" w:line="245"/>
      </w:pPr>
      <w:r>
        <w:rPr>
          <w:rFonts w:ascii="Calibri" w:cs="Calibri" w:eastAsia="Calibri" w:hAnsi="Calibri"/>
          <w:b/>
          <w:sz w:val="17"/>
          <w:szCs w:val="17"/>
        </w:rPr>
        <w:t xml:space="preserve">Phenolphthalein [M]</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Inspect it visually. It stays usable if it is not cloudy and has no deposit.</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Dissolve a little phenolphthalein powder in 96 per cent ethanol. Usable phenolphthalein dissolves completely. Keep ethanol away from the oven and any ignition source.</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Make up the indicator solution (SOP-0050 phenolphthalein indicator).</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Add 2 to 3 drops of the indicator solution to diluted NaOH. It is usable only if the solution turns pink.</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Add 2 to 3 drops to diluted HCl or H2SO4. It is usable only if the solution is clear (colourless).</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If any one of these tests fails, discard the phenolphthalein.</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If all tests pass, record the test date and the new expiry date, 1 year after the test.</w:t>
      </w:r>
    </w:p>
    <w:p>
      <w:pPr>
        <w:spacing w:after="60" w:before="0" w:line="245"/>
      </w:pPr>
      <w:r>
        <w:rPr>
          <w:rFonts w:ascii="Calibri" w:cs="Calibri" w:eastAsia="Calibri" w:hAnsi="Calibri"/>
          <w:b/>
          <w:sz w:val="17"/>
          <w:szCs w:val="17"/>
        </w:rPr>
        <w:t xml:space="preserve">Silica gel [M]</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Inspect it visually. If the colour has moved away from orange, its effectiveness has dropped because it has absorbed moisture.</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Dry the silica gel in the oven for 2 hours. [CONFIRM] oven temperature is not stated.</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After drying, check whether the colour returns to orange.</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If the colour does not change, discard the silica gel.</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KBK-MIR-LAB-WET-SOP-043, -044 and -045 standard solutions</w:t>
      </w:r>
    </w:p>
    <w:p>
      <w:pPr>
        <w:pStyle w:val="ListParagraph"/>
        <w:numPr>
          <w:ilvl w:val="0"/>
          <w:numId w:val="1"/>
        </w:numPr>
        <w:spacing w:after="60" w:line="245"/>
      </w:pPr>
      <w:r>
        <w:rPr>
          <w:rFonts w:ascii="Calibri" w:cs="Calibri" w:eastAsia="Calibri" w:hAnsi="Calibri"/>
          <w:sz w:val="17"/>
          <w:szCs w:val="17"/>
        </w:rPr>
        <w:t xml:space="preserve">KBK-MIR-MP-PRO-MET-SOP-0043 AgNO3 0.01 M standard, SOP-0050 phenolphthalein indicator, SOP-0051 rhodanine indicator, SOP-0052 10 per cent sulfamic acid and SOP-0053 potassium chloride for the cyanide analyser - all received 11 Aug 2026</w:t>
      </w:r>
    </w:p>
    <w:p>
      <w:pPr>
        <w:pStyle w:val="ListParagraph"/>
        <w:numPr>
          <w:ilvl w:val="0"/>
          <w:numId w:val="1"/>
        </w:numPr>
        <w:spacing w:after="60" w:line="245"/>
      </w:pPr>
      <w:r>
        <w:rPr>
          <w:rFonts w:ascii="Calibri" w:cs="Calibri" w:eastAsia="Calibri" w:hAnsi="Calibri"/>
          <w:sz w:val="17"/>
          <w:szCs w:val="17"/>
        </w:rPr>
        <w:t xml:space="preserve">ILS quotation Q0023979 - Class F1 weight set 10 mg to 200 g and GR-200 0.1 mg balance</w:t>
      </w:r>
    </w:p>
    <w:p>
      <w:pPr>
        <w:pStyle w:val="ListParagraph"/>
        <w:numPr>
          <w:ilvl w:val="0"/>
          <w:numId w:val="1"/>
        </w:numPr>
        <w:spacing w:after="60" w:line="245"/>
      </w:pPr>
      <w:r>
        <w:rPr>
          <w:rFonts w:ascii="Calibri" w:cs="Calibri" w:eastAsia="Calibri" w:hAnsi="Calibri"/>
          <w:sz w:val="17"/>
          <w:szCs w:val="17"/>
        </w:rPr>
        <w:t xml:space="preserve">Martabe work instruction 'Testwork QC Expired Reagent' (Indonesian, 28/03/2025) - Part B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SWI-PRO-MET-205-017  ·  Preparation of Standard and Working Solutions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