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Fouling, Osmotic Shock and Bead Integrity Assessment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Fouling, Osmotic Shock and Bead Integrity Assessment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SWI-PRO-MET-205-014 - Resin Fouling, Osmotic Shock and Bead Integrity Assessment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Assess resin condition - fouling, osmotic damage and bead breakage.</w:t>
            </w:r>
          </w:p>
          <w:p w14:paraId="2578DD76" w14:textId="77777777" w:rsidR="00294C35" w:rsidRPr="00294C35" w:rsidRDefault="00294C35" w:rsidP="00294C35">
            <w:pPr>
              <w:rPr>
                <w:sz w:val="20"/>
                <w:szCs w:val="20"/>
              </w:rPr>
            </w:pPr>
            <w:r>
              <w:rPr>
                <w:sz w:val="20"/>
                <w:szCs w:val="20"/>
              </w:rPr>
              <w:t xml:space="preserve">Resin is the most expensive consumable on the circuit and the damage is cumulative and irreversible.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after any osmotic shock event.</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200 mm sieve set 38 um to 2 mm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 RX29</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Acid and caustic for the fouling check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 and Washing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at the transfer stream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from a settled hopper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resin sample from the transfer stream, not from a settled hopper.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free of slurry over the retention aperture.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Bead Size and Integrity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Noise from the Ro-Tap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Fines lost in washing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bead size distribution per the resin PSD method and record the fraction below the retention aperture.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Count a subsample for whole, cracked and broken beads and report whole bead count as a percentage.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Hearing protection on while the Ro-Tap is running.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Fouling Check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Acid on cyanide-bearing resin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Acid or caustic splash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for fouling - discolouration, coating and change in bulk density against fresh resin.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fouling is suspected, run the acid and caustic wash sequence at the bench and re-measure capacity against an unwashed split.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Trend all measures against the conditioning and transfer history.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against the acceptance criteria once Goldquip supplies them - until then, report the trend only.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Wash the resin free of cyanide before any acid wash. Acid on cyanide releases HCN.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Resin Fouling, Osmotic Shock and Bead Integrity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Distribusi Ukuran Partikel Resin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38 um to 2 mm sieve set and Ro-Tap RX29</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RA-01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Loss Register</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Moving Equipment If a person is caught by or struck by the Ro-Tap,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SWI-PRO-MET-205-014</w:t>
          </w:r>
          <w:r w:rsidR="00945F8F" w:rsidRPr="00945F8F">
            <w:rPr>
              <w:sz w:val="16"/>
              <w:szCs w:val="16"/>
            </w:rPr>
            <w:t xml:space="preserve"> — </w:t>
          </w:r>
          <w:r w:rsidR="005D5479" w:rsidRPr="005D5479">
            <w:rPr>
              <w:sz w:val="16"/>
              <w:szCs w:val="16"/>
            </w:rPr>
            <w:t>Resin Fouling, Osmotic Shock and Bead Integrity Assessment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Resin Fouling, Osmotic Shock and Bead Integrity Assessment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SWI-PRO-MET-205-014 - Resin Fouling, Osmotic Shock and Bead Integrity Assessment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