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34314099"/>
        <w:docPartObj>
          <w:docPartGallery w:val="Cover Pages"/>
          <w:docPartUnique/>
        </w:docPartObj>
      </w:sdtPr>
      <w:sdtEndPr/>
      <w:sdtContent>
        <w:p w14:paraId="274FD4E2" w14:textId="180D8785" w:rsidR="004548D3" w:rsidRDefault="004548D3">
          <w:r>
            <w:rPr>
              <w:noProof/>
              <w:sz w:val="20"/>
              <w:szCs w:val="20"/>
            </w:rPr>
            <w:drawing>
              <wp:anchor distT="0" distB="0" distL="114300" distR="114300" simplePos="0" relativeHeight="251658252" behindDoc="1" locked="0" layoutInCell="1" allowOverlap="1" wp14:anchorId="1C01612E" wp14:editId="6CE1CB40">
                <wp:simplePos x="0" y="0"/>
                <wp:positionH relativeFrom="page">
                  <wp:align>left</wp:align>
                </wp:positionH>
                <wp:positionV relativeFrom="paragraph">
                  <wp:posOffset>-52573</wp:posOffset>
                </wp:positionV>
                <wp:extent cx="5504180" cy="1198880"/>
                <wp:effectExtent l="0" t="0" r="0" b="0"/>
                <wp:wrapNone/>
                <wp:docPr id="594622820" name="Picture 594622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04180" cy="11988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7A618A2" w14:textId="6ABC87FA" w:rsidR="004548D3" w:rsidRDefault="004548D3">
          <w:r>
            <w:rPr>
              <w:rFonts w:cstheme="minorHAnsi"/>
              <w:b/>
              <w:noProof/>
              <w:color w:val="996633"/>
              <w:sz w:val="24"/>
              <w:szCs w:val="24"/>
              <w:lang w:eastAsia="en-AU"/>
            </w:rPr>
            <w:drawing>
              <wp:anchor distT="0" distB="0" distL="114300" distR="114300" simplePos="0" relativeHeight="251658254" behindDoc="1" locked="0" layoutInCell="1" allowOverlap="1" wp14:anchorId="041BEB55" wp14:editId="219107B5">
                <wp:simplePos x="0" y="0"/>
                <wp:positionH relativeFrom="margin">
                  <wp:align>left</wp:align>
                </wp:positionH>
                <wp:positionV relativeFrom="paragraph">
                  <wp:posOffset>3336868</wp:posOffset>
                </wp:positionV>
                <wp:extent cx="5731510" cy="3724275"/>
                <wp:effectExtent l="114300" t="95250" r="116840" b="161925"/>
                <wp:wrapNone/>
                <wp:docPr id="2004031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031472" name=""/>
                        <pic:cNvPicPr/>
                      </pic:nvPicPr>
                      <pic:blipFill>
                        <a:blip r:embed="rId11">
                          <a:extLst>
                            <a:ext uri="{28A0092B-C50C-407E-A947-70E740481C1C}">
                              <a14:useLocalDpi xmlns:a14="http://schemas.microsoft.com/office/drawing/2010/main" val="0"/>
                            </a:ext>
                          </a:extLst>
                        </a:blip>
                        <a:stretch>
                          <a:fillRect/>
                        </a:stretch>
                      </pic:blipFill>
                      <pic:spPr>
                        <a:xfrm>
                          <a:off x="0" y="0"/>
                          <a:ext cx="5731510" cy="3724275"/>
                        </a:xfrm>
                        <a:prstGeom prst="rect">
                          <a:avLst/>
                        </a:prstGeom>
                        <a:ln>
                          <a:solidFill>
                            <a:srgbClr val="CC9900"/>
                          </a:solidFill>
                        </a:ln>
                        <a:effectLst>
                          <a:glow rad="63500">
                            <a:srgbClr val="CC9900">
                              <a:alpha val="40000"/>
                            </a:srgbClr>
                          </a:glow>
                          <a:outerShdw blurRad="50800" dist="50800" dir="5400000" algn="ctr" rotWithShape="0">
                            <a:srgbClr val="CC9900"/>
                          </a:outerShdw>
                          <a:softEdge rad="12700"/>
                        </a:effectLst>
                      </pic:spPr>
                    </pic:pic>
                  </a:graphicData>
                </a:graphic>
              </wp:anchor>
            </w:drawing>
          </w:r>
          <w:r>
            <w:rPr>
              <w:noProof/>
            </w:rPr>
            <mc:AlternateContent>
              <mc:Choice Requires="wps">
                <w:drawing>
                  <wp:anchor distT="45720" distB="45720" distL="114300" distR="114300" simplePos="0" relativeHeight="251658253" behindDoc="0" locked="0" layoutInCell="1" allowOverlap="1" wp14:anchorId="483F33E9" wp14:editId="7AB4BCFC">
                    <wp:simplePos x="0" y="0"/>
                    <wp:positionH relativeFrom="margin">
                      <wp:align>center</wp:align>
                    </wp:positionH>
                    <wp:positionV relativeFrom="paragraph">
                      <wp:posOffset>2010650</wp:posOffset>
                    </wp:positionV>
                    <wp:extent cx="6442710" cy="1404620"/>
                    <wp:effectExtent l="0" t="0" r="0" b="0"/>
                    <wp:wrapSquare wrapText="bothSides"/>
                    <wp:docPr id="16504514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42710" cy="1404620"/>
                            </a:xfrm>
                            <a:prstGeom prst="rect">
                              <a:avLst/>
                            </a:prstGeom>
                            <a:solidFill>
                              <a:srgbClr val="FFFFFF"/>
                            </a:solidFill>
                            <a:ln w="9525">
                              <a:noFill/>
                              <a:miter lim="800000"/>
                              <a:headEnd/>
                              <a:tailEnd/>
                            </a:ln>
                          </wps:spPr>
                          <wps:txbx>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Adsorption Profile Survey - Metal and Cyanide Resin Circuits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483F33E9" id="_x0000_t202" coordsize="21600,21600" o:spt="202" path="m,l,21600r21600,l21600,xe">
                    <v:stroke joinstyle="miter"/>
                    <v:path gradientshapeok="t" o:connecttype="rect"/>
                  </v:shapetype>
                  <v:shape id="Text Box 2" o:spid="_x0000_s1026" type="#_x0000_t202" style="position:absolute;margin-left:0;margin-top:158.3pt;width:507.3pt;height:110.6pt;z-index:251658253;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aALODQIAAPcDAAAOAAAAZHJzL2Uyb0RvYy54bWysU9tu2zAMfR+wfxD0vtgOnLQ14hRdugwD&#10;ugvQ7QNkWY6FyaJGKbG7rx+lpGnQvQ3Tg0CK1BF5eLS6nQbDDgq9BlvzYpZzpqyEVttdzX983767&#10;5swHYVthwKqaPynPb9dv36xGV6k59GBahYxArK9GV/M+BFdlmZe9GoSfgVOWgh3gIAK5uMtaFCOh&#10;Dyab5/kyGwFbhyCV93R6fwzydcLvOiXD167zKjBTc6otpB3T3sQ9W69EtUPhei1PZYh/qGIQ2tKj&#10;Z6h7EQTbo/4LatASwUMXZhKGDLpOS5V6oG6K/FU3j71wKvVC5Hh3psn/P1j55fDoviEL03uYaICp&#10;Ce8eQP70zMKmF3an7hBh7JVo6eEiUpaNzlenq5FqX/kI0oyfoaUhi32ABDR1OERWqE9G6DSApzPp&#10;agpM0uGyLOdXBYUkxYoyL5fzNJZMVM/XHfrwUcHAolFzpKkmeHF48CGWI6rnlPiaB6PbrTYmObhr&#10;NgbZQZACtmmlDl6lGcvGmt8s5ouEbCHeT+IYdCCFGj3U/DqP66iZSMcH26aUILQ52lSJsSd+IiVH&#10;csLUTJQYeWqgfSKmEI5KpJ9DRg/4m7ORVFhz/2svUHFmPlli+6Yoyyjb5JSLK6KG4WWkuYwIKwmq&#10;5oGzo7kJSeqJB3dHU9nqxNdLJadaSV2JxtNPiPK99FPWy39d/wEAAP//AwBQSwMEFAAGAAgAAAAh&#10;AOs9/RveAAAACQEAAA8AAABkcnMvZG93bnJldi54bWxMj8FOwzAQRO9I/IO1SNyoE0pDFbKpKiou&#10;HJAoSHB0YyeOsNeW7abh73FP9DarWc28aTazNWxSIY6OEMpFAUxR5+RIA8Lnx8vdGlhMgqQwjhTC&#10;r4qwaa+vGlFLd6J3Ne3TwHIIxVog6JR8zXnstLIiLpxXlL3eBStSPsPAZRCnHG4Nvy+KilsxUm7Q&#10;wqtnrbqf/dEifFk9yl14++6lmXav/Xbl5+ARb2/m7ROwpOb0/wxn/IwObWY6uCPJyAxCHpIQlmVV&#10;ATvbRfmQ1QFhtXxcA28bfrmg/QMAAP//AwBQSwECLQAUAAYACAAAACEAtoM4kv4AAADhAQAAEwAA&#10;AAAAAAAAAAAAAAAAAAAAW0NvbnRlbnRfVHlwZXNdLnhtbFBLAQItABQABgAIAAAAIQA4/SH/1gAA&#10;AJQBAAALAAAAAAAAAAAAAAAAAC8BAABfcmVscy8ucmVsc1BLAQItABQABgAIAAAAIQD0aALODQIA&#10;APcDAAAOAAAAAAAAAAAAAAAAAC4CAABkcnMvZTJvRG9jLnhtbFBLAQItABQABgAIAAAAIQDrPf0b&#10;3gAAAAkBAAAPAAAAAAAAAAAAAAAAAGcEAABkcnMvZG93bnJldi54bWxQSwUGAAAAAAQABADzAAAA&#10;cgUAAAAA&#10;" stroked="f">
                    <v:textbox style="mso-fit-shape-to-text:t">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Adsorption Profile Survey - Metal and Cyanide Resin Circuits</w:t>
                          </w:r>
                        </w:p>
                      </w:txbxContent>
                    </v:textbox>
                    <w10:wrap type="square" anchorx="margin"/>
                  </v:shape>
                </w:pict>
              </mc:Fallback>
            </mc:AlternateContent>
            <mc:AlternateContent>
              <mc:Choice Requires="wps">
                <w:drawing>
                  <wp:anchor distT="0" distB="0" distL="114300" distR="114300" simplePos="0" relativeHeight="251658255" behindDoc="0" locked="0" layoutInCell="1" allowOverlap="1" wp14:anchorId="645235FB" wp14:editId="099DAD69">
                    <wp:simplePos x="0" y="0"/>
                    <wp:positionH relativeFrom="margin">
                      <wp:align>center</wp:align>
                    </wp:positionH>
                    <wp:positionV relativeFrom="paragraph">
                      <wp:posOffset>9047117</wp:posOffset>
                    </wp:positionV>
                    <wp:extent cx="7027811" cy="531628"/>
                    <wp:effectExtent l="0" t="0" r="1905" b="1905"/>
                    <wp:wrapNone/>
                    <wp:docPr id="805578583" name="Text Box 2"/>
                    <wp:cNvGraphicFramePr/>
                    <a:graphic xmlns:a="http://schemas.openxmlformats.org/drawingml/2006/main">
                      <a:graphicData uri="http://schemas.microsoft.com/office/word/2010/wordprocessingShape">
                        <wps:wsp>
                          <wps:cNvSpPr txBox="1"/>
                          <wps:spPr>
                            <a:xfrm>
                              <a:off x="0" y="0"/>
                              <a:ext cx="7027811" cy="531628"/>
                            </a:xfrm>
                            <a:prstGeom prst="rect">
                              <a:avLst/>
                            </a:prstGeom>
                            <a:solidFill>
                              <a:schemeClr val="lt1"/>
                            </a:solidFill>
                            <a:ln w="6350">
                              <a:noFill/>
                            </a:ln>
                          </wps:spPr>
                          <wps:txb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5235FB" id="_x0000_s1027" type="#_x0000_t202" style="position:absolute;margin-left:0;margin-top:712.35pt;width:553.35pt;height:41.85pt;z-index:251658255;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5ojqLwIAAFsEAAAOAAAAZHJzL2Uyb0RvYy54bWysVE1v2zAMvQ/YfxB0X2ynSZoZcYosRYYB&#10;QVsgHXpWZCk2IIuapMTOfv0oOV/rdhp2kSmReiQfnzx76BpFDsK6GnRBs0FKidAcylrvCvr9dfVp&#10;SonzTJdMgRYFPQpHH+YfP8xak4shVKBKYQmCaJe3pqCV9yZPEscr0TA3ACM0OiXYhnnc2l1SWtYi&#10;eqOSYZpOkhZsaSxw4RyePvZOOo/4Ugrun6V0whNVUKzNx9XGdRvWZD5j+c4yU9X8VAb7hyoaVmtM&#10;eoF6ZJ6Rva3/gGpqbsGB9AMOTQJS1lzEHrCbLH3XzaZiRsRekBxnLjS5/wfLnw4b82KJ775AhwMM&#10;hLTG5Q4PQz+dtE34YqUE/Ujh8UKb6DzheHifDu+nWUYJR9/4LpsMpwEmud421vmvAhoSjIJaHEtk&#10;ix3Wzveh55CQzIGqy1WtVNwEKYilsuTAcIjKxxoR/LcopUlb0MndOI3AGsL1HllprOXaU7B8t+1I&#10;Xd70u4XyiDRY6BXiDF/VWOuaOf/CLEoCO0eZ+2dcpALMBSeLkgrsz7+dh3icFHopaVFiBXU/9swK&#10;StQ3jTP8nI1GQZNxMxrfD3Fjbz3bW4/eN0tAApBnrC6aId6rsyktNG/4GhYhK7qY5pi7oP5sLn0v&#10;fHxNXCwWMQhVaJhf643hAToQHibx2r0xa07j8jjoJziLkeXvptbHhpsaFnsPso4jDTz3rJ7oRwVH&#10;UZxeW3git/sYdf0nzH8BAAD//wMAUEsDBBQABgAIAAAAIQDvvP0O4QAAAAsBAAAPAAAAZHJzL2Rv&#10;d25yZXYueG1sTI9LT8MwEITvSPwHa5G4IGq3TR8KcSqEeEjcaHiImxsvSUS8jmI3Cf+e7Qluszur&#10;2W+y3eRaMWAfGk8a5jMFAqn0tqFKw2vxcL0FEaIha1pPqOEHA+zy87PMpNaP9ILDPlaCQyikRkMd&#10;Y5dKGcoanQkz3yGx9+V7ZyKPfSVtb0YOd61cKLWWzjTEH2rT4V2N5ff+6DR8XlUfz2F6fBuXq2V3&#10;/zQUm3dbaH15Md3egIg4xb9jOOEzOuTMdPBHskG0GrhI5G2ySDYgTv5crVkdWK3UNgGZZ/J/h/wX&#10;AAD//wMAUEsBAi0AFAAGAAgAAAAhALaDOJL+AAAA4QEAABMAAAAAAAAAAAAAAAAAAAAAAFtDb250&#10;ZW50X1R5cGVzXS54bWxQSwECLQAUAAYACAAAACEAOP0h/9YAAACUAQAACwAAAAAAAAAAAAAAAAAv&#10;AQAAX3JlbHMvLnJlbHNQSwECLQAUAAYACAAAACEA4uaI6i8CAABbBAAADgAAAAAAAAAAAAAAAAAu&#10;AgAAZHJzL2Uyb0RvYy54bWxQSwECLQAUAAYACAAAACEA77z9DuEAAAALAQAADwAAAAAAAAAAAAAA&#10;AACJBAAAZHJzL2Rvd25yZXYueG1sUEsFBgAAAAAEAAQA8wAAAJcFAAAAAA==&#10;" fillcolor="white [3201]" stroked="f" strokeweight=".5pt">
                    <v:textbo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v:textbox>
                    <w10:wrap anchorx="margin"/>
                  </v:shape>
                </w:pict>
              </mc:Fallback>
            </mc:AlternateContent>
          </w:r>
          <w:r>
            <w:br w:type="page"/>
          </w:r>
        </w:p>
      </w:sdtContent>
    </w:sdt>
    <w:p w14:paraId="6E88798A" w14:textId="77777777" w:rsidR="007B539B" w:rsidRDefault="007B539B" w:rsidP="007B539B"/>
    <w:p w14:paraId="7279503A" w14:textId="77777777" w:rsidR="000107B7" w:rsidRDefault="000107B7" w:rsidP="000107B7">
      <w:pPr>
        <w:pStyle w:val="Heading1"/>
        <w:tabs>
          <w:tab w:val="num" w:pos="720"/>
        </w:tabs>
        <w:spacing w:before="0" w:after="0"/>
        <w:ind w:left="720" w:hanging="360"/>
        <w:rPr>
          <w:rFonts w:cstheme="minorHAnsi"/>
          <w:b/>
          <w:color w:val="996633"/>
          <w:sz w:val="24"/>
          <w:szCs w:val="24"/>
          <w:lang w:eastAsia="en-AU"/>
        </w:rPr>
      </w:pPr>
      <w:r>
        <w:rPr>
          <w:rFonts w:cstheme="minorHAnsi"/>
          <w:b/>
          <w:color w:val="996633"/>
          <w:sz w:val="24"/>
          <w:szCs w:val="24"/>
          <w:lang w:eastAsia="en-AU"/>
        </w:rPr>
        <w:t>Purpose and Scope</w:t>
      </w:r>
    </w:p>
    <w:p w14:paraId="792CAAE3" w14:textId="77777777" w:rsidR="00EB7B26" w:rsidRPr="00EB7B26" w:rsidRDefault="00EB7B26" w:rsidP="00EB7B26">
      <w:pPr>
        <w:rPr>
          <w:sz w:val="2"/>
          <w:szCs w:val="2"/>
          <w:lang w:eastAsia="en-AU"/>
        </w:rPr>
      </w:pPr>
    </w:p>
    <w:p w14:paraId="3307B2D0" w14:textId="77777777" w:rsidR="000107B7" w:rsidRPr="00743758" w:rsidRDefault="000107B7" w:rsidP="000107B7">
      <w:pPr>
        <w:pStyle w:val="BodyText"/>
        <w:spacing w:line="276" w:lineRule="auto"/>
        <w:ind w:left="431"/>
        <w:rPr>
          <w:rFonts w:asciiTheme="minorHAnsi" w:hAnsiTheme="minorHAnsi"/>
          <w:i/>
          <w:sz w:val="20"/>
        </w:rPr>
      </w:pPr>
      <w:r>
        <w:rPr>
          <w:rFonts w:asciiTheme="minorHAnsi" w:hAnsiTheme="minorHAnsi" w:cstheme="minorHAnsi"/>
          <w:i/>
          <w:sz w:val="20"/>
        </w:rPr>
        <w:t>This Safe Work Instruction is required so that the mechanical and operational integrity of the system is kept intact. It assists operators and mechanical technicians alike to identify possible problems before they happen.  It will help ensure that when personnel are performing this task it is performed in a safe and secure manner, to ensure the operational integrity of the machine and applies when this task is performed either by itself or in conjunction with other tasks in the area</w:t>
      </w:r>
      <w:r>
        <w:rPr>
          <w:rFonts w:asciiTheme="minorHAnsi" w:hAnsiTheme="minorHAnsi"/>
          <w:i/>
          <w:sz w:val="20"/>
        </w:rPr>
        <w:t xml:space="preserve">. </w:t>
      </w:r>
    </w:p>
    <w:p w14:paraId="4963A536" w14:textId="77777777" w:rsidR="000107B7" w:rsidRPr="005B3DBD" w:rsidRDefault="000107B7" w:rsidP="000107B7">
      <w:pPr>
        <w:spacing w:line="276" w:lineRule="auto"/>
        <w:ind w:left="426"/>
        <w:rPr>
          <w:i/>
          <w:lang w:val="en-US"/>
        </w:rPr>
      </w:pPr>
    </w:p>
    <w:tbl>
      <w:tblPr>
        <w:tblW w:w="0" w:type="auto"/>
        <w:tblInd w:w="-5"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9021"/>
      </w:tblGrid>
      <w:tr w:rsidR="000107B7" w:rsidRPr="00D66A74" w14:paraId="59090E9D" w14:textId="77777777" w:rsidTr="003744DA">
        <w:tc>
          <w:tcPr>
            <w:tcW w:w="9021" w:type="dxa"/>
            <w:tcBorders>
              <w:top w:val="single" w:sz="4" w:space="0" w:color="auto"/>
              <w:bottom w:val="single" w:sz="4" w:space="0" w:color="auto"/>
            </w:tcBorders>
            <w:shd w:val="clear" w:color="auto" w:fill="CC9900"/>
          </w:tcPr>
          <w:p w14:paraId="0EC5E5AE" w14:textId="77777777" w:rsidR="000107B7" w:rsidRPr="00D66A74" w:rsidRDefault="000107B7" w:rsidP="003744DA">
            <w:pPr>
              <w:spacing w:before="120" w:after="120" w:line="240" w:lineRule="auto"/>
              <w:jc w:val="center"/>
              <w:rPr>
                <w:b/>
                <w:i/>
                <w:color w:val="FF0000"/>
                <w:lang w:val="en-US"/>
              </w:rPr>
            </w:pPr>
            <w:r>
              <w:rPr>
                <w:b/>
                <w:i/>
                <w:lang w:val="en-US"/>
              </w:rPr>
              <w:t xml:space="preserve">A JSA or Take 5 </w:t>
            </w:r>
            <w:r>
              <w:rPr>
                <w:b/>
                <w:i/>
                <w:u w:val="single"/>
                <w:lang w:val="en-US"/>
              </w:rPr>
              <w:t>must</w:t>
            </w:r>
            <w:r>
              <w:rPr>
                <w:b/>
                <w:i/>
                <w:lang w:val="en-US"/>
              </w:rPr>
              <w:t xml:space="preserve"> be completed and discussed with the Supervisor if any variation to this SWI is necessary.</w:t>
            </w:r>
          </w:p>
        </w:tc>
      </w:tr>
    </w:tbl>
    <w:p w14:paraId="4B828509" w14:textId="77777777" w:rsidR="000107B7" w:rsidRPr="00BD7698" w:rsidRDefault="000107B7" w:rsidP="000107B7">
      <w:pPr>
        <w:spacing w:after="0" w:line="240" w:lineRule="auto"/>
        <w:rPr>
          <w:rFonts w:ascii="Calibri" w:hAnsi="Calibri"/>
        </w:rPr>
      </w:pPr>
    </w:p>
    <w:p w14:paraId="6936889A" w14:textId="77777777" w:rsidR="000107B7" w:rsidRDefault="000107B7"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RESPONSIBILITIES AND AUTHORITY</w:t>
      </w:r>
    </w:p>
    <w:p w14:paraId="6C237015" w14:textId="77777777" w:rsidR="000107B7" w:rsidRPr="00AA53D8" w:rsidRDefault="000107B7" w:rsidP="000107B7">
      <w:pPr>
        <w:rPr>
          <w:sz w:val="8"/>
          <w:szCs w:val="8"/>
          <w:lang w:eastAsia="en-AU"/>
        </w:rPr>
      </w:pPr>
    </w:p>
    <w:tbl>
      <w:tblPr>
        <w:tblStyle w:val="TableGrid3"/>
        <w:tblW w:w="0" w:type="auto"/>
        <w:tblLook w:val="04A0" w:firstRow="1" w:lastRow="0" w:firstColumn="1" w:lastColumn="0" w:noHBand="0" w:noVBand="1"/>
      </w:tblPr>
      <w:tblGrid>
        <w:gridCol w:w="3017"/>
        <w:gridCol w:w="3215"/>
        <w:gridCol w:w="2784"/>
      </w:tblGrid>
      <w:tr w:rsidR="000107B7" w:rsidRPr="00D66A74" w14:paraId="1B1EEB35" w14:textId="77777777" w:rsidTr="003744DA">
        <w:tc>
          <w:tcPr>
            <w:tcW w:w="3017" w:type="dxa"/>
            <w:shd w:val="clear" w:color="auto" w:fill="CC9900"/>
          </w:tcPr>
          <w:p w14:paraId="268FC44D"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 xml:space="preserve">What </w:t>
            </w:r>
          </w:p>
        </w:tc>
        <w:tc>
          <w:tcPr>
            <w:tcW w:w="3215" w:type="dxa"/>
            <w:shd w:val="clear" w:color="auto" w:fill="CC9900"/>
          </w:tcPr>
          <w:p w14:paraId="746A7C63"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Who</w:t>
            </w:r>
          </w:p>
        </w:tc>
        <w:tc>
          <w:tcPr>
            <w:tcW w:w="2784" w:type="dxa"/>
            <w:shd w:val="clear" w:color="auto" w:fill="CC9900"/>
          </w:tcPr>
          <w:p w14:paraId="3432C792"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When</w:t>
            </w:r>
          </w:p>
        </w:tc>
      </w:tr>
      <w:tr w:rsidR="000107B7" w:rsidRPr="00D66A74" w14:paraId="4A3F0316" w14:textId="77777777" w:rsidTr="003744DA">
        <w:tc>
          <w:tcPr>
            <w:tcW w:w="3017" w:type="dxa"/>
          </w:tcPr>
          <w:p w14:paraId="0C3208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Conform to procedure:</w:t>
            </w:r>
          </w:p>
          <w:p w14:paraId="767B06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Implement Changes:</w:t>
            </w:r>
          </w:p>
          <w:p w14:paraId="68B398CF"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Change procedure:</w:t>
            </w:r>
          </w:p>
          <w:p w14:paraId="4CFA230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Review:</w:t>
            </w:r>
          </w:p>
          <w:p w14:paraId="331E979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Authorisation:</w:t>
            </w:r>
          </w:p>
        </w:tc>
        <w:tc>
          <w:tcPr>
            <w:tcW w:w="3215" w:type="dxa"/>
          </w:tcPr>
          <w:p w14:paraId="37AB343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All personnel</w:t>
            </w:r>
          </w:p>
          <w:p w14:paraId="3DFF9F3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Anyone</w:t>
            </w:r>
          </w:p>
          <w:p w14:paraId="128CBEE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Training Facilitator</w:t>
            </w:r>
          </w:p>
          <w:p w14:paraId="3C84724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Working party of content experts</w:t>
            </w:r>
          </w:p>
          <w:p w14:paraId="402180F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Manager</w:t>
            </w:r>
          </w:p>
        </w:tc>
        <w:tc>
          <w:tcPr>
            <w:tcW w:w="2784" w:type="dxa"/>
          </w:tcPr>
          <w:p w14:paraId="605C3A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At all times</w:t>
            </w:r>
          </w:p>
          <w:p w14:paraId="4D4D515E"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A3750A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71CDC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 &amp; yearly</w:t>
            </w:r>
          </w:p>
          <w:p w14:paraId="1954189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w:t>
            </w:r>
          </w:p>
        </w:tc>
      </w:tr>
    </w:tbl>
    <w:p w14:paraId="61F3B7AA" w14:textId="32D85F9F" w:rsidR="000107B7" w:rsidRPr="00AA53D8" w:rsidRDefault="00670544"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PPE REQUIREMENTS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helmet and safety glasses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splash goggles and face shield</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High-visibility long-sleeved shirt and long trousers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boots with sound tread - nitrile PVC boots at the sample point</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resistant suit, nitrile rubber gloves and apron</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Personal HCN gas monitor, calibrated and in test date</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Full or half gas mask with A2B2E2K2P3 cartridge, carried and available for immediate use</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Harness and fall arrest where no fixed platform exists</w:t>
      </w:r>
    </w:p>
    <w:p w14:paraId="6B19EBE1" w14:textId="77777777" w:rsidR="000107B7" w:rsidRDefault="000107B7" w:rsidP="000107B7">
      <w:pPr>
        <w:tabs>
          <w:tab w:val="left" w:pos="3941"/>
        </w:tabs>
        <w:autoSpaceDE w:val="0"/>
        <w:autoSpaceDN w:val="0"/>
        <w:adjustRightInd w:val="0"/>
        <w:spacing w:after="0" w:line="276" w:lineRule="auto"/>
        <w:rPr>
          <w:rFonts w:cstheme="minorHAnsi"/>
        </w:rPr>
      </w:pPr>
    </w:p>
    <w:tbl>
      <w:tblPr>
        <w:tblStyle w:val="TableGrid3"/>
        <w:tblW w:w="0" w:type="auto"/>
        <w:tblInd w:w="137" w:type="dxa"/>
        <w:tblLook w:val="04A0" w:firstRow="1" w:lastRow="0" w:firstColumn="1" w:lastColumn="0" w:noHBand="0" w:noVBand="1"/>
      </w:tblPr>
      <w:tblGrid>
        <w:gridCol w:w="8789"/>
      </w:tblGrid>
      <w:tr w:rsidR="000107B7" w:rsidRPr="00D66A74" w14:paraId="7720C4D5" w14:textId="77777777" w:rsidTr="003744DA">
        <w:trPr>
          <w:cantSplit/>
          <w:trHeight w:val="264"/>
        </w:trPr>
        <w:tc>
          <w:tcPr>
            <w:tcW w:w="8789" w:type="dxa"/>
            <w:shd w:val="clear" w:color="auto" w:fill="CC9900"/>
          </w:tcPr>
          <w:p w14:paraId="5C7B094D"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0107B7" w:rsidRPr="00D66A74" w14:paraId="7556BC93" w14:textId="77777777" w:rsidTr="003744DA">
        <w:trPr>
          <w:cantSplit/>
          <w:trHeight w:val="1907"/>
        </w:trPr>
        <w:tc>
          <w:tcPr>
            <w:tcW w:w="8789" w:type="dxa"/>
          </w:tcPr>
          <w:p w14:paraId="52B20E06" w14:textId="77777777" w:rsidR="004A6DAB" w:rsidRPr="00C23E54" w:rsidRDefault="004A6DAB" w:rsidP="003744DA">
            <w:pPr>
              <w:keepNext/>
              <w:tabs>
                <w:tab w:val="left" w:pos="3941"/>
              </w:tabs>
              <w:autoSpaceDE w:val="0"/>
              <w:autoSpaceDN w:val="0"/>
              <w:adjustRightInd w:val="0"/>
              <w:spacing w:line="276" w:lineRule="auto"/>
              <w:jc w:val="center"/>
              <w:rPr>
                <w:rFonts w:cs="Calibri"/>
                <w:b/>
                <w:i/>
                <w:color w:val="EE0000"/>
                <w:sz w:val="16"/>
                <w:szCs w:val="16"/>
              </w:rPr>
            </w:pPr>
          </w:p>
          <w:p w14:paraId="19295B4C" w14:textId="58A52610" w:rsidR="000107B7" w:rsidRPr="00D52EAC"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 xml:space="preserve">Call on CH19 “EMERGENCY, EMERGENCY, EMERGENCY” on the project to make everyone aware, call 000 for emergency services, police, fire or ambulance, you will need to stay calm and state when</w:t>
            </w:r>
          </w:p>
          <w:p w14:paraId="62A0337F"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requested by a responder:</w:t>
            </w:r>
          </w:p>
          <w:p w14:paraId="36E47484" w14:textId="77777777" w:rsidR="000107B7" w:rsidRPr="004A6DAB" w:rsidRDefault="000107B7" w:rsidP="003744DA">
            <w:pPr>
              <w:keepNext/>
              <w:rPr>
                <w:rFonts w:asciiTheme="minorHAnsi" w:hAnsiTheme="minorHAnsi" w:cs="Calibri"/>
                <w:sz w:val="10"/>
                <w:szCs w:val="10"/>
              </w:rPr>
            </w:pPr>
          </w:p>
        </w:tc>
      </w:tr>
      <w:tr w:rsidR="000107B7" w:rsidRPr="00D66A74" w14:paraId="6176397F" w14:textId="77777777" w:rsidTr="003744DA">
        <w:trPr>
          <w:cantSplit/>
          <w:trHeight w:val="1112"/>
        </w:trPr>
        <w:tc>
          <w:tcPr>
            <w:tcW w:w="8789" w:type="dxa"/>
          </w:tcPr>
          <w:p w14:paraId="149CD7C9"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Name.</w:t>
            </w:r>
          </w:p>
          <w:p w14:paraId="3AC06DAD" w14:textId="6D972A96" w:rsidR="007E6AC7" w:rsidRPr="00C2765D" w:rsidRDefault="000107B7" w:rsidP="00636AB0">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Location.</w:t>
            </w:r>
          </w:p>
          <w:p w14:paraId="3B9F65EF"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Type of Emergency; and</w:t>
            </w:r>
          </w:p>
          <w:p w14:paraId="0C20CD72" w14:textId="2A05E32D" w:rsidR="000107B7" w:rsidRPr="004A6DAB" w:rsidRDefault="000107B7" w:rsidP="004A6DAB">
            <w:pPr>
              <w:tabs>
                <w:tab w:val="left" w:pos="3941"/>
              </w:tabs>
              <w:autoSpaceDE w:val="0"/>
              <w:autoSpaceDN w:val="0"/>
              <w:adjustRightInd w:val="0"/>
              <w:spacing w:line="276" w:lineRule="auto"/>
              <w:ind w:left="3600"/>
              <w:rPr>
                <w:rFonts w:cs="Calibri"/>
                <w:b/>
                <w:i/>
                <w:sz w:val="20"/>
                <w:szCs w:val="20"/>
              </w:rPr>
            </w:pPr>
            <w:r>
              <w:rPr>
                <w:rFonts w:cs="Calibri"/>
                <w:b/>
                <w:i/>
                <w:sz w:val="20"/>
                <w:szCs w:val="20"/>
              </w:rPr>
              <w:t>• Assistance Required.</w:t>
            </w:r>
          </w:p>
        </w:tc>
      </w:tr>
    </w:tbl>
    <w:p w14:paraId="3C77653D" w14:textId="537E9CA1" w:rsidR="007B539B" w:rsidRDefault="007B539B">
      <w:pPr>
        <w:pageBreakBefore/>
        <w:spacing w:before="0" w:after="0" w:line="240" w:lineRule="auto"/>
        <w:rPr>
          <w:sz w:val="2"/>
          <w:szCs w:val="2"/>
        </w:rPr>
      </w:pPr>
    </w:p>
    <w:tbl>
      <w:tblPr>
        <w:tblStyle w:val="TableGrid"/>
        <w:tblW w:w="10632" w:type="dxa"/>
        <w:tblInd w:w="-856" w:type="dxa"/>
        <w:tblLook w:val="04A0" w:firstRow="1" w:lastRow="0" w:firstColumn="1" w:lastColumn="0" w:noHBand="0" w:noVBand="1"/>
      </w:tblPr>
      <w:tblGrid>
        <w:gridCol w:w="990"/>
        <w:gridCol w:w="915"/>
        <w:gridCol w:w="111"/>
        <w:gridCol w:w="54"/>
        <w:gridCol w:w="1064"/>
        <w:gridCol w:w="734"/>
        <w:gridCol w:w="331"/>
        <w:gridCol w:w="1067"/>
        <w:gridCol w:w="637"/>
        <w:gridCol w:w="427"/>
        <w:gridCol w:w="1065"/>
        <w:gridCol w:w="474"/>
        <w:gridCol w:w="590"/>
        <w:gridCol w:w="1065"/>
        <w:gridCol w:w="1108"/>
      </w:tblGrid>
      <w:tr w:rsidR="00AA578C" w14:paraId="6D551CD8" w14:textId="77777777" w:rsidTr="00DC1D42">
        <w:trPr>
          <w:trHeight w:val="200"/>
        </w:trPr>
        <w:tc>
          <w:tcPr>
            <w:tcW w:w="10632" w:type="dxa"/>
            <w:gridSpan w:val="15"/>
            <w:shd w:val="clear" w:color="auto" w:fill="CC9900"/>
          </w:tcPr>
          <w:p w14:paraId="7A9626A2" w14:textId="7CEBFB97" w:rsidR="00AA578C" w:rsidRPr="00AA578C" w:rsidRDefault="00AA578C" w:rsidP="00111DF4">
            <w:pPr>
              <w:rPr>
                <w:b/>
                <w:bCs/>
                <w:sz w:val="20"/>
                <w:szCs w:val="20"/>
              </w:rPr>
            </w:pPr>
            <w:r>
              <w:rPr>
                <w:b/>
                <w:bCs/>
                <w:sz w:val="20"/>
                <w:szCs w:val="20"/>
              </w:rPr>
              <w:t>Part 1: Information</w:t>
            </w:r>
          </w:p>
        </w:tc>
      </w:tr>
      <w:tr w:rsidR="00AA578C" w14:paraId="5DCAC05F" w14:textId="77777777" w:rsidTr="00DC1D42">
        <w:tc>
          <w:tcPr>
            <w:tcW w:w="2016" w:type="dxa"/>
            <w:gridSpan w:val="3"/>
            <w:shd w:val="clear" w:color="auto" w:fill="F2F2F2" w:themeFill="background1" w:themeFillShade="F2"/>
          </w:tcPr>
          <w:p w14:paraId="2B75D29F" w14:textId="13881B41" w:rsidR="00AA578C" w:rsidRPr="00AA578C" w:rsidRDefault="00AA578C" w:rsidP="00111DF4">
            <w:pPr>
              <w:rPr>
                <w:b/>
                <w:bCs/>
                <w:sz w:val="20"/>
                <w:szCs w:val="20"/>
              </w:rPr>
            </w:pPr>
            <w:r>
              <w:rPr>
                <w:b/>
                <w:bCs/>
                <w:sz w:val="20"/>
                <w:szCs w:val="20"/>
              </w:rPr>
              <w:lastRenderedPageBreak/>
              <w:t>Title:</w:t>
            </w:r>
          </w:p>
        </w:tc>
        <w:tc>
          <w:tcPr>
            <w:tcW w:w="8616" w:type="dxa"/>
            <w:gridSpan w:val="12"/>
          </w:tcPr>
          <w:p w14:paraId="1FAD7E15" w14:textId="107CBE26" w:rsidR="00AA578C" w:rsidRDefault="00097C0F" w:rsidP="00111DF4">
            <w:pPr>
              <w:rPr>
                <w:sz w:val="20"/>
                <w:szCs w:val="20"/>
              </w:rPr>
            </w:pPr>
            <w:r>
              <w:rPr>
                <w:sz w:val="20"/>
                <w:szCs w:val="20"/>
              </w:rPr>
              <w:t xml:space="preserve">SWI-PRO-MET-203-006 - Adsorption Profile Survey - Metal and Cyanide Resin Circuits</w:t>
            </w:r>
          </w:p>
        </w:tc>
      </w:tr>
      <w:tr w:rsidR="00AA578C" w14:paraId="0F7F1F77" w14:textId="77777777" w:rsidTr="00DC1D42">
        <w:tc>
          <w:tcPr>
            <w:tcW w:w="2016" w:type="dxa"/>
            <w:gridSpan w:val="3"/>
            <w:shd w:val="clear" w:color="auto" w:fill="F2F2F2" w:themeFill="background1" w:themeFillShade="F2"/>
          </w:tcPr>
          <w:p w14:paraId="4642E70F" w14:textId="7D70C0E9" w:rsidR="00AA578C" w:rsidRPr="00AA578C" w:rsidRDefault="00AA578C" w:rsidP="00111DF4">
            <w:pPr>
              <w:rPr>
                <w:b/>
                <w:bCs/>
                <w:sz w:val="20"/>
                <w:szCs w:val="20"/>
              </w:rPr>
            </w:pPr>
            <w:r>
              <w:rPr>
                <w:b/>
                <w:bCs/>
                <w:sz w:val="20"/>
                <w:szCs w:val="20"/>
              </w:rPr>
              <w:t>Issued Date:</w:t>
            </w:r>
          </w:p>
        </w:tc>
        <w:tc>
          <w:tcPr>
            <w:tcW w:w="3250" w:type="dxa"/>
            <w:gridSpan w:val="5"/>
          </w:tcPr>
          <w:p w14:paraId="0FA70F88" w14:textId="3E626513" w:rsidR="00AA578C" w:rsidRDefault="00097C0F" w:rsidP="00111DF4">
            <w:pPr>
              <w:rPr>
                <w:sz w:val="20"/>
                <w:szCs w:val="20"/>
              </w:rPr>
            </w:pPr>
            <w:r>
              <w:rPr>
                <w:sz w:val="20"/>
                <w:szCs w:val="20"/>
              </w:rPr>
              <w:t xml:space="preserve">11/08/2026</w:t>
            </w:r>
          </w:p>
        </w:tc>
        <w:tc>
          <w:tcPr>
            <w:tcW w:w="2603" w:type="dxa"/>
            <w:gridSpan w:val="4"/>
            <w:shd w:val="clear" w:color="auto" w:fill="F2F2F2" w:themeFill="background1" w:themeFillShade="F2"/>
          </w:tcPr>
          <w:p w14:paraId="170B8929" w14:textId="6E12FADA" w:rsidR="00AA578C" w:rsidRPr="00AA578C" w:rsidRDefault="00F82BE4" w:rsidP="00111DF4">
            <w:pPr>
              <w:rPr>
                <w:b/>
                <w:bCs/>
                <w:sz w:val="20"/>
                <w:szCs w:val="20"/>
              </w:rPr>
            </w:pPr>
            <w:r>
              <w:rPr>
                <w:b/>
                <w:bCs/>
                <w:sz w:val="20"/>
                <w:szCs w:val="20"/>
              </w:rPr>
              <w:t>Next Review Date:</w:t>
            </w:r>
          </w:p>
        </w:tc>
        <w:tc>
          <w:tcPr>
            <w:tcW w:w="2763" w:type="dxa"/>
            <w:gridSpan w:val="3"/>
          </w:tcPr>
          <w:p w14:paraId="30999893" w14:textId="13F25D45" w:rsidR="00AA578C" w:rsidRDefault="00097C0F" w:rsidP="00111DF4">
            <w:pPr>
              <w:rPr>
                <w:sz w:val="20"/>
                <w:szCs w:val="20"/>
              </w:rPr>
            </w:pPr>
            <w:r>
              <w:rPr>
                <w:sz w:val="20"/>
                <w:szCs w:val="20"/>
              </w:rPr>
              <w:t xml:space="preserve">11/08/2027</w:t>
            </w:r>
          </w:p>
        </w:tc>
      </w:tr>
      <w:tr w:rsidR="00AA578C" w14:paraId="6BDB8CA3" w14:textId="77777777" w:rsidTr="00DC1D42">
        <w:tc>
          <w:tcPr>
            <w:tcW w:w="2016" w:type="dxa"/>
            <w:gridSpan w:val="3"/>
            <w:shd w:val="clear" w:color="auto" w:fill="F2F2F2" w:themeFill="background1" w:themeFillShade="F2"/>
          </w:tcPr>
          <w:p w14:paraId="1AE6C677" w14:textId="2E86C2F5" w:rsidR="00AA578C" w:rsidRPr="00AA578C" w:rsidRDefault="00AA578C" w:rsidP="00111DF4">
            <w:pPr>
              <w:rPr>
                <w:b/>
                <w:bCs/>
                <w:sz w:val="20"/>
                <w:szCs w:val="20"/>
              </w:rPr>
            </w:pPr>
            <w:r>
              <w:rPr>
                <w:b/>
                <w:bCs/>
                <w:sz w:val="20"/>
                <w:szCs w:val="20"/>
              </w:rPr>
              <w:t>Document Owner:</w:t>
            </w:r>
          </w:p>
        </w:tc>
        <w:tc>
          <w:tcPr>
            <w:tcW w:w="3250" w:type="dxa"/>
            <w:gridSpan w:val="5"/>
          </w:tcPr>
          <w:p w14:paraId="2258797B" w14:textId="4D112F9C" w:rsidR="00AA578C" w:rsidRDefault="00B72BD2" w:rsidP="00111DF4">
            <w:pPr>
              <w:rPr>
                <w:sz w:val="20"/>
                <w:szCs w:val="20"/>
              </w:rPr>
            </w:pPr>
            <w:r>
              <w:rPr>
                <w:sz w:val="20"/>
                <w:szCs w:val="20"/>
              </w:rPr>
              <w:t xml:space="preserve">Processing</w:t>
            </w:r>
          </w:p>
        </w:tc>
        <w:tc>
          <w:tcPr>
            <w:tcW w:w="2603" w:type="dxa"/>
            <w:gridSpan w:val="4"/>
            <w:shd w:val="clear" w:color="auto" w:fill="F2F2F2" w:themeFill="background1" w:themeFillShade="F2"/>
          </w:tcPr>
          <w:p w14:paraId="37392AA4" w14:textId="2A29D5E0" w:rsidR="00AA578C" w:rsidRPr="00AA578C" w:rsidRDefault="00AA578C" w:rsidP="00111DF4">
            <w:pPr>
              <w:rPr>
                <w:b/>
                <w:bCs/>
                <w:sz w:val="20"/>
                <w:szCs w:val="20"/>
              </w:rPr>
            </w:pPr>
            <w:r>
              <w:rPr>
                <w:b/>
                <w:bCs/>
                <w:sz w:val="20"/>
                <w:szCs w:val="20"/>
              </w:rPr>
              <w:t>JSEA ID:</w:t>
            </w:r>
          </w:p>
        </w:tc>
        <w:tc>
          <w:tcPr>
            <w:tcW w:w="2763" w:type="dxa"/>
            <w:gridSpan w:val="3"/>
          </w:tcPr>
          <w:p w14:paraId="2725AFF2" w14:textId="26BF8665" w:rsidR="00AA578C" w:rsidRDefault="00D1626D" w:rsidP="00111DF4">
            <w:pPr>
              <w:rPr>
                <w:sz w:val="20"/>
                <w:szCs w:val="20"/>
              </w:rPr>
            </w:pPr>
            <w:r>
              <w:rPr>
                <w:sz w:val="20"/>
                <w:szCs w:val="20"/>
              </w:rPr>
              <w:t xml:space="preserve">JSEA-PRO-MET-203-006</w:t>
            </w:r>
          </w:p>
        </w:tc>
      </w:tr>
      <w:tr w:rsidR="00AA578C" w:rsidRPr="00111DF4" w14:paraId="75BE48B4" w14:textId="77777777" w:rsidTr="00DC1D42">
        <w:trPr>
          <w:trHeight w:val="275"/>
        </w:trPr>
        <w:tc>
          <w:tcPr>
            <w:tcW w:w="10632" w:type="dxa"/>
            <w:gridSpan w:val="15"/>
            <w:shd w:val="clear" w:color="auto" w:fill="CC9900"/>
          </w:tcPr>
          <w:p w14:paraId="6F1E3AAF" w14:textId="32CD6DCC" w:rsidR="00AA578C" w:rsidRDefault="00AA578C">
            <w:pPr>
              <w:rPr>
                <w:sz w:val="20"/>
                <w:szCs w:val="20"/>
              </w:rPr>
            </w:pPr>
            <w:r>
              <w:rPr>
                <w:b/>
                <w:bCs/>
                <w:sz w:val="20"/>
                <w:szCs w:val="20"/>
              </w:rPr>
              <w:t xml:space="preserve">Part 2: </w:t>
            </w:r>
          </w:p>
        </w:tc>
      </w:tr>
      <w:tr w:rsidR="00C0180D" w:rsidRPr="00111DF4" w14:paraId="6F41CFC7" w14:textId="77777777" w:rsidTr="00DC1D42">
        <w:trPr>
          <w:trHeight w:val="275"/>
        </w:trPr>
        <w:tc>
          <w:tcPr>
            <w:tcW w:w="3868" w:type="dxa"/>
            <w:gridSpan w:val="6"/>
          </w:tcPr>
          <w:p w14:paraId="02DEEC87" w14:textId="2DFC41C5" w:rsidR="00C0180D" w:rsidRPr="00111DF4" w:rsidRDefault="00C0180D">
            <w:pPr>
              <w:rPr>
                <w:b/>
                <w:bCs/>
                <w:sz w:val="20"/>
                <w:szCs w:val="20"/>
              </w:rPr>
            </w:pPr>
            <w:r>
              <w:rPr>
                <w:b/>
                <w:bCs/>
                <w:sz w:val="20"/>
                <w:szCs w:val="20"/>
              </w:rPr>
              <w:t xml:space="preserve">Description of work:</w:t>
            </w:r>
          </w:p>
        </w:tc>
        <w:tc>
          <w:tcPr>
            <w:tcW w:w="6764" w:type="dxa"/>
            <w:gridSpan w:val="9"/>
          </w:tcPr>
          <w:p w14:paraId="2578DD76" w14:textId="77777777" w:rsidR="00294C35" w:rsidRPr="00294C35" w:rsidRDefault="00294C35" w:rsidP="00294C35">
            <w:pPr>
              <w:rPr>
                <w:sz w:val="20"/>
                <w:szCs w:val="20"/>
              </w:rPr>
            </w:pPr>
            <w:r>
              <w:rPr>
                <w:sz w:val="20"/>
                <w:szCs w:val="20"/>
              </w:rPr>
              <w:t xml:space="preserve">Build the profile across the metal and cyanide adsorption trains - solution metal, solution cyanide and resin loading tank by tank.</w:t>
            </w:r>
          </w:p>
          <w:p w14:paraId="2578DD76" w14:textId="77777777" w:rsidR="00294C35" w:rsidRPr="00294C35" w:rsidRDefault="00294C35" w:rsidP="00294C35">
            <w:pPr>
              <w:rPr>
                <w:sz w:val="20"/>
                <w:szCs w:val="20"/>
              </w:rPr>
            </w:pPr>
            <w:r>
              <w:rPr>
                <w:sz w:val="20"/>
                <w:szCs w:val="20"/>
              </w:rPr>
              <w:t xml:space="preserve">This is the measure of whether the ReCYN circuit is recovering what it was bought to recover.</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Area: 203 Plant Surveys.</w:t>
            </w:r>
          </w:p>
          <w:p w14:paraId="2578DD76" w14:textId="77777777" w:rsidR="00294C35" w:rsidRPr="00294C35" w:rsidRDefault="00294C35" w:rsidP="00294C35">
            <w:pPr>
              <w:rPr>
                <w:sz w:val="20"/>
                <w:szCs w:val="20"/>
              </w:rPr>
            </w:pPr>
            <w:r>
              <w:rPr>
                <w:sz w:val="20"/>
                <w:szCs w:val="20"/>
              </w:rPr>
              <w:t xml:space="preserve">Points and equipment covered:</w:t>
            </w:r>
          </w:p>
          <w:p w14:paraId="2578DD76" w14:textId="77777777" w:rsidR="00294C35" w:rsidRPr="00294C35" w:rsidRDefault="00294C35" w:rsidP="00294C35">
            <w:pPr>
              <w:rPr>
                <w:sz w:val="20"/>
                <w:szCs w:val="20"/>
              </w:rPr>
            </w:pPr>
            <w:r>
              <w:rPr>
                <w:sz w:val="20"/>
                <w:szCs w:val="20"/>
              </w:rPr>
              <w:t xml:space="preserve">041-TK-007/008 - Metal adsorption train</w:t>
            </w:r>
          </w:p>
          <w:p w14:paraId="2578DD76" w14:textId="77777777" w:rsidR="00294C35" w:rsidRPr="00294C35" w:rsidRDefault="00294C35" w:rsidP="00294C35">
            <w:pPr>
              <w:rPr>
                <w:sz w:val="20"/>
                <w:szCs w:val="20"/>
              </w:rPr>
            </w:pPr>
            <w:r>
              <w:rPr>
                <w:sz w:val="20"/>
                <w:szCs w:val="20"/>
              </w:rPr>
              <w:t xml:space="preserve">051-TK-009/010 - Cyanide adsorption train</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Frequency: Quarterly, and after any change to resin inventory or transfer rate.</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This instruction sits under Standard Work Procedure HM-PRC-VXX-PRO207 - Plant Surveys and Circuit Performance Assessment. Read that procedure before carrying out this task for the first time.</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Register line: SWI-PRO-MET-203-006 in HM-MMM-WHS-REG-XXX-R00-SWI-SWMS, tab SWI-MET. The matching hazard analysis is JSEA-PRO-MET-203-006.</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b/>
                <w:bCs/>
                <w:sz w:val="20"/>
                <w:szCs w:val="20"/>
              </w:rPr>
              <w:t xml:space="preserve">This is a safety-critical task. It is not carried out alone in a cyanide area, and not without the Shift Supervisor knowing it is in progress.</w:t>
            </w:r>
          </w:p>
        </w:tc>
      </w:tr>
      <w:tr w:rsidR="006A5BC5" w:rsidRPr="00111DF4" w14:paraId="5D2CCC97" w14:textId="77777777" w:rsidTr="00DC1D42">
        <w:trPr>
          <w:trHeight w:val="269"/>
        </w:trPr>
        <w:tc>
          <w:tcPr>
            <w:tcW w:w="3868" w:type="dxa"/>
            <w:gridSpan w:val="6"/>
            <w:tcBorders>
              <w:bottom w:val="single" w:sz="4" w:space="0" w:color="auto"/>
            </w:tcBorders>
          </w:tcPr>
          <w:p w14:paraId="09F2E9FF" w14:textId="1B1638B6" w:rsidR="006A5BC5" w:rsidRPr="00111DF4" w:rsidRDefault="00111DF4">
            <w:pPr>
              <w:rPr>
                <w:b/>
                <w:bCs/>
                <w:sz w:val="20"/>
                <w:szCs w:val="20"/>
              </w:rPr>
            </w:pPr>
            <w:r>
              <w:rPr>
                <w:b/>
                <w:bCs/>
                <w:sz w:val="20"/>
                <w:szCs w:val="20"/>
              </w:rPr>
              <w:t>Potential Hazards:</w:t>
            </w:r>
          </w:p>
        </w:tc>
        <w:tc>
          <w:tcPr>
            <w:tcW w:w="6764" w:type="dxa"/>
            <w:gridSpan w:val="9"/>
            <w:tcBorders>
              <w:bottom w:val="single" w:sz="4" w:space="0" w:color="auto"/>
            </w:tcBorders>
          </w:tcPr>
          <w:p w14:paraId="5E51407A" w14:textId="67D23B88" w:rsidR="00C74C5C" w:rsidRPr="00C74C5C" w:rsidRDefault="00C74C5C" w:rsidP="00C74C5C">
            <w:pPr>
              <w:rPr>
                <w:sz w:val="20"/>
                <w:szCs w:val="20"/>
              </w:rPr>
            </w:pPr>
            <w:r>
              <w:rPr>
                <w:sz w:val="20"/>
                <w:szCs w:val="20"/>
              </w:rPr>
              <w:t xml:space="preserve">Hydrogen cyanide gas released at the open sample point — Personal HCN monitor worn and switched on, in calibration date. Fixed detection confirmed healthy - alarm 5 ppm, high-high 10 ppm. Sample point approached from upwind. pH of the stream confirmed above 10.5 before opening. Second person in sight and clear. Cyanide antidote kit on site and a trained first aider on shift. Withdraw upwind and report on any reading above the site action level.</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Splash of cyanide-bearing slurry or solution to skin or eyes — Sample valve opened slowly with the container positioned first and the body out of the spray path. Face shield, chemical splash goggles, chemical-resistant gloves and apron. Never open a sample valve whose discharge cannot be seen. Safety shower and eyewash proven flowing before the round starts.</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Fall from a tank top, launder platform, column platform or access ladder — Fixed platforms, stairways and handrails used in preference to any other access. Harness and fall arrest where no fixed platform exists. Three points of contact on ladders. No sampling at height alone. Sample containers carried in a bag or hoisted, not in the hand on a ladder.</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Contact with an agitator, sample cutter, pump or screen that starts without warning — Much of the plant is automated and equipment can start or stop without warning. Guards confirmed in place before approaching. Control room notified before the round starts and again on completion. Isolation and lock-out before any guard or cutter housing is opened.</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Working alone in a cyanide area where a collapse would not be seen — Cyanide-area sampling is not done alone. Control room notified at the start and end of every round. Radio check-in at the interval set by the Shift Supervisor.</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Slip, trip or fall on wet or slurry-covered walkways around sample points — Spillage cleaned up immediately and the point left clean. Walkways kept clear of hoses, buckets and containers. Safety boots with sound tread. Report any damaged or missing grating before use.</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Non-representative sample leading to a wrong process decision — Line flushed for the stated time before collecting. Sample taken at the same point, in the same way and at the same frequency every time. Container labelled BEFORE the sample is taken, with point, date, time and shift. Steady-state confirmed for 15 to 20 minutes before sampling. A sample taken off-condition is marked as such or discarded.</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Cross-contamination from a container or cutter not cleaned between points — Bucket, container, cutter and sieve rinsed with process water and then with the stream being sampled, and the rinse discarded, before every sample. Dedicated containers for high-grade streams. Labels checked against the schedule before handover.</w:t>
            </w:r>
          </w:p>
          <w:p w14:paraId="5E51407A" w14:textId="67D23B88" w:rsidR="00C74C5C" w:rsidRPr="00C74C5C" w:rsidRDefault="00C74C5C" w:rsidP="00C74C5C">
            <w:pPr>
              <w:rPr>
                <w:sz w:val="20"/>
                <w:szCs w:val="20"/>
              </w:rPr>
            </w:pPr>
          </w:p>
          <w:p w14:paraId="0185CDF8" w14:textId="77777777" w:rsidR="00A9336A" w:rsidRDefault="007B0539" w:rsidP="00C74C5C">
            <w:pPr>
              <w:rPr>
                <w:i/>
                <w:iCs/>
                <w:sz w:val="20"/>
                <w:szCs w:val="20"/>
              </w:rPr>
            </w:pPr>
            <w:r>
              <w:rPr>
                <w:i/>
                <w:iCs/>
                <w:sz w:val="20"/>
                <w:szCs w:val="20"/>
              </w:rPr>
              <w:t xml:space="preserve">The full step-by-step hazard analysis, with the risk ranking, is in JSEA-PRO-MET-203-006 Section 4.</w:t>
            </w:r>
          </w:p>
        </w:tc>
      </w:tr>
      <w:tr w:rsidR="006A5BC5" w:rsidRPr="00111DF4" w14:paraId="2FBFD448" w14:textId="77777777" w:rsidTr="00DC1D42">
        <w:trPr>
          <w:cantSplit/>
        </w:trPr>
        <w:tc>
          <w:tcPr>
            <w:tcW w:w="10632" w:type="dxa"/>
            <w:gridSpan w:val="15"/>
            <w:shd w:val="clear" w:color="auto" w:fill="CC9900"/>
          </w:tcPr>
          <w:p w14:paraId="64E13BCB" w14:textId="7F65DB95" w:rsidR="006A5BC5" w:rsidRPr="00111DF4" w:rsidRDefault="006A5BC5" w:rsidP="006A5BC5">
            <w:pPr>
              <w:keepNext/>
              <w:ind w:left="-826"/>
              <w:jc w:val="center"/>
              <w:rPr>
                <w:b/>
                <w:bCs/>
                <w:sz w:val="20"/>
                <w:szCs w:val="20"/>
              </w:rPr>
            </w:pPr>
            <w:r>
              <w:rPr>
                <w:b/>
                <w:bCs/>
                <w:sz w:val="20"/>
                <w:szCs w:val="20"/>
              </w:rPr>
              <w:t>PERSONAL PROTECTIVE EQUIPMENT (PPE):</w:t>
            </w:r>
          </w:p>
        </w:tc>
      </w:tr>
      <w:tr w:rsidR="00111DF4" w:rsidRPr="00111DF4" w14:paraId="6BB4CC3C" w14:textId="77777777" w:rsidTr="00DC1D42">
        <w:trPr>
          <w:cantSplit/>
          <w:trHeight w:val="1170"/>
        </w:trPr>
        <w:tc>
          <w:tcPr>
            <w:tcW w:w="990" w:type="dxa"/>
          </w:tcPr>
          <w:p w14:paraId="6D3F9975" w14:textId="5EDA0556" w:rsidR="006A5BC5" w:rsidRPr="00111DF4" w:rsidRDefault="006A5BC5" w:rsidP="006A5BC5">
            <w:pPr>
              <w:keepNext/>
              <w:jc w:val="center"/>
              <w:rPr>
                <w:sz w:val="20"/>
                <w:szCs w:val="20"/>
              </w:rPr>
            </w:pPr>
            <w:r>
              <w:rPr>
                <w:noProof/>
                <w:sz w:val="20"/>
                <w:szCs w:val="20"/>
                <w:lang w:eastAsia="en-AU"/>
              </w:rPr>
              <w:drawing>
                <wp:anchor distT="0" distB="0" distL="114300" distR="114300" simplePos="0" relativeHeight="251658240" behindDoc="1" locked="0" layoutInCell="1" allowOverlap="1" wp14:anchorId="6D0B950C" wp14:editId="6B1377DC">
                  <wp:simplePos x="0" y="0"/>
                  <wp:positionH relativeFrom="column">
                    <wp:posOffset>7620</wp:posOffset>
                  </wp:positionH>
                  <wp:positionV relativeFrom="paragraph">
                    <wp:posOffset>146998</wp:posOffset>
                  </wp:positionV>
                  <wp:extent cx="468000" cy="444984"/>
                  <wp:effectExtent l="0" t="0" r="8255" b="0"/>
                  <wp:wrapTight wrapText="bothSides">
                    <wp:wrapPolygon edited="0">
                      <wp:start x="0" y="0"/>
                      <wp:lineTo x="0" y="20366"/>
                      <wp:lineTo x="21102" y="20366"/>
                      <wp:lineTo x="21102"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68000" cy="444984"/>
                          </a:xfrm>
                          <a:prstGeom prst="rect">
                            <a:avLst/>
                          </a:prstGeom>
                        </pic:spPr>
                      </pic:pic>
                    </a:graphicData>
                  </a:graphic>
                </wp:anchor>
              </w:drawing>
            </w:r>
          </w:p>
        </w:tc>
        <w:tc>
          <w:tcPr>
            <w:tcW w:w="1080" w:type="dxa"/>
            <w:gridSpan w:val="3"/>
          </w:tcPr>
          <w:p w14:paraId="3BEF0C66" w14:textId="45BC2865"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1" behindDoc="1" locked="0" layoutInCell="1" allowOverlap="1" wp14:anchorId="5E667E76" wp14:editId="664F9DD9">
                  <wp:simplePos x="0" y="0"/>
                  <wp:positionH relativeFrom="column">
                    <wp:posOffset>34290</wp:posOffset>
                  </wp:positionH>
                  <wp:positionV relativeFrom="paragraph">
                    <wp:posOffset>131132</wp:posOffset>
                  </wp:positionV>
                  <wp:extent cx="468000" cy="468000"/>
                  <wp:effectExtent l="0" t="0" r="8255" b="8255"/>
                  <wp:wrapTight wrapText="bothSides">
                    <wp:wrapPolygon edited="0">
                      <wp:start x="0" y="0"/>
                      <wp:lineTo x="0" y="21102"/>
                      <wp:lineTo x="21102" y="21102"/>
                      <wp:lineTo x="21102" y="0"/>
                      <wp:lineTo x="0" y="0"/>
                    </wp:wrapPolygon>
                  </wp:wrapTight>
                  <wp:docPr id="4" name="Picture 4" descr="F:\MITCHELL WATER\02 - DM Mitchell\6 - OHS\06 - Pre-Start Meetings\03 - Pre-Start Symbols\PPE Symbols Glove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F:\MITCHELL WATER\02 - DM Mitchell\6 - OHS\06 - Pre-Start Meetings\03 - Pre-Start Symbols\PPE Symbols Gloves.jp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tcPr>
          <w:p w14:paraId="5CBB784C" w14:textId="3EAA1A86"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2" behindDoc="1" locked="0" layoutInCell="1" allowOverlap="1" wp14:anchorId="1EC869AA" wp14:editId="252EEAC6">
                  <wp:simplePos x="0" y="0"/>
                  <wp:positionH relativeFrom="column">
                    <wp:posOffset>38735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5" name="Picture 5" descr="F:\MITCHELL WATER\02 - DM Mitchell\6 - OHS\06 - Pre-Start Meetings\03 - Pre-Start Symbols\PPE Symbols Hard Ha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F:\MITCHELL WATER\02 - DM Mitchell\6 - OHS\06 - Pre-Start Meetings\03 - Pre-Start Symbols\PPE Symbols Hard Hat.jp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gridSpan w:val="2"/>
          </w:tcPr>
          <w:p w14:paraId="1F02F43F" w14:textId="3A091EAB"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3" behindDoc="1" locked="0" layoutInCell="1" allowOverlap="1" wp14:anchorId="0AEA61D6" wp14:editId="60F51379">
                  <wp:simplePos x="0" y="0"/>
                  <wp:positionH relativeFrom="column">
                    <wp:posOffset>45085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6" name="Picture 6" descr="F:\MITCHELL WATER\02 - DM Mitchell\6 - OHS\06 - Pre-Start Meetings\03 - Pre-Start Symbols\PPE Symbols Hearing Protecti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F:\MITCHELL WATER\02 - DM Mitchell\6 - OHS\06 - Pre-Start Meetings\03 - Pre-Start Symbols\PPE Symbols Hearing Protection.jp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7" w:type="dxa"/>
          </w:tcPr>
          <w:p w14:paraId="4F60D94C" w14:textId="64F01B67"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4" behindDoc="1" locked="0" layoutInCell="1" allowOverlap="1" wp14:anchorId="6A58357A" wp14:editId="16AF33CC">
                  <wp:simplePos x="0" y="0"/>
                  <wp:positionH relativeFrom="column">
                    <wp:posOffset>36830</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7" name="Picture 7" descr="F:\MITCHELL WATER\02 - DM Mitchell\6 - OHS\06 - Pre-Start Meetings\03 - Pre-Start Symbols\PPE Symbols Hi-Vis Ves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F:\MITCHELL WATER\02 - DM Mitchell\6 - OHS\06 - Pre-Start Meetings\03 - Pre-Start Symbols\PPE Symbols Hi-Vis Vest.jp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gridSpan w:val="2"/>
          </w:tcPr>
          <w:p w14:paraId="517D0C3B" w14:textId="78D01AF3"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5" behindDoc="1" locked="0" layoutInCell="1" allowOverlap="1" wp14:anchorId="62A6D3DC" wp14:editId="095A8CD0">
                  <wp:simplePos x="0" y="0"/>
                  <wp:positionH relativeFrom="column">
                    <wp:posOffset>41275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8" name="Picture 8" descr="F:\MITCHELL WATER\02 - DM Mitchell\6 - OHS\06 - Pre-Start Meetings\03 - Pre-Start Symbols\PPE Symbols Dust Mask.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descr="F:\MITCHELL WATER\02 - DM Mitchell\6 - OHS\06 - Pre-Start Meetings\03 - Pre-Start Symbols\PPE Symbols Dust Mask.jp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454B022F" w14:textId="22C16B6E"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6" behindDoc="1" locked="0" layoutInCell="1" allowOverlap="1" wp14:anchorId="71431D45" wp14:editId="095A5FA2">
                  <wp:simplePos x="0" y="0"/>
                  <wp:positionH relativeFrom="column">
                    <wp:posOffset>34290</wp:posOffset>
                  </wp:positionH>
                  <wp:positionV relativeFrom="paragraph">
                    <wp:posOffset>146998</wp:posOffset>
                  </wp:positionV>
                  <wp:extent cx="468000" cy="458685"/>
                  <wp:effectExtent l="0" t="0" r="8255" b="0"/>
                  <wp:wrapTight wrapText="bothSides">
                    <wp:wrapPolygon edited="0">
                      <wp:start x="0" y="0"/>
                      <wp:lineTo x="0" y="20643"/>
                      <wp:lineTo x="21102" y="20643"/>
                      <wp:lineTo x="21102" y="0"/>
                      <wp:lineTo x="0" y="0"/>
                    </wp:wrapPolygon>
                  </wp:wrapTight>
                  <wp:docPr id="9" name="Picture 9" descr="F:\MITCHELL WATER\02 - DM Mitchell\6 - OHS\06 - Pre-Start Meetings\03 - Pre-Start Symbols\PPE Symbols Fall Restrain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F:\MITCHELL WATER\02 - DM Mitchell\6 - OHS\06 - Pre-Start Meetings\03 - Pre-Start Symbols\PPE Symbols Fall Restraint.jp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68000" cy="458685"/>
                          </a:xfrm>
                          <a:prstGeom prst="rect">
                            <a:avLst/>
                          </a:prstGeom>
                          <a:noFill/>
                          <a:ln>
                            <a:noFill/>
                          </a:ln>
                        </pic:spPr>
                      </pic:pic>
                    </a:graphicData>
                  </a:graphic>
                </wp:anchor>
              </w:drawing>
            </w:r>
          </w:p>
        </w:tc>
        <w:tc>
          <w:tcPr>
            <w:tcW w:w="1064" w:type="dxa"/>
            <w:gridSpan w:val="2"/>
          </w:tcPr>
          <w:p w14:paraId="699F9B3D" w14:textId="1CF15B69"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7" behindDoc="1" locked="0" layoutInCell="1" allowOverlap="1" wp14:anchorId="724C94CC" wp14:editId="72004D14">
                  <wp:simplePos x="0" y="0"/>
                  <wp:positionH relativeFrom="column">
                    <wp:posOffset>40005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10" name="Picture 10" descr="F:\MITCHELL WATER\02 - DM Mitchell\6 - OHS\06 - Pre-Start Meetings\03 - Pre-Start Symbols\PPE Symbols Lock Out-Tag Ou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F:\MITCHELL WATER\02 - DM Mitchell\6 - OHS\06 - Pre-Start Meetings\03 - Pre-Start Symbols\PPE Symbols Lock Out-Tag Out.jp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2B136F05" w14:textId="14C0E7E2"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8" behindDoc="1" locked="0" layoutInCell="1" allowOverlap="1" wp14:anchorId="478C9514" wp14:editId="72BA5954">
                  <wp:simplePos x="0" y="0"/>
                  <wp:positionH relativeFrom="column">
                    <wp:posOffset>33020</wp:posOffset>
                  </wp:positionH>
                  <wp:positionV relativeFrom="paragraph">
                    <wp:posOffset>133663</wp:posOffset>
                  </wp:positionV>
                  <wp:extent cx="467833" cy="467833"/>
                  <wp:effectExtent l="0" t="0" r="8890" b="8890"/>
                  <wp:wrapTight wrapText="bothSides">
                    <wp:wrapPolygon edited="0">
                      <wp:start x="0" y="0"/>
                      <wp:lineTo x="0" y="21130"/>
                      <wp:lineTo x="21130" y="21130"/>
                      <wp:lineTo x="21130" y="0"/>
                      <wp:lineTo x="0" y="0"/>
                    </wp:wrapPolygon>
                  </wp:wrapTight>
                  <wp:docPr id="11" name="Picture 11" descr="F:\MITCHELL WATER\02 - DM Mitchell\6 - OHS\06 - Pre-Start Meetings\03 - Pre-Start Symbols\PPE Symbols Personal Hygie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descr="F:\MITCHELL WATER\02 - DM Mitchell\6 - OHS\06 - Pre-Start Meetings\03 - Pre-Start Symbols\PPE Symbols Personal Hygiene.jpg"/>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67833" cy="467833"/>
                          </a:xfrm>
                          <a:prstGeom prst="rect">
                            <a:avLst/>
                          </a:prstGeom>
                          <a:noFill/>
                          <a:ln>
                            <a:noFill/>
                          </a:ln>
                        </pic:spPr>
                      </pic:pic>
                    </a:graphicData>
                  </a:graphic>
                </wp:anchor>
              </w:drawing>
            </w:r>
          </w:p>
        </w:tc>
        <w:tc>
          <w:tcPr>
            <w:tcW w:w="1108" w:type="dxa"/>
          </w:tcPr>
          <w:p w14:paraId="2396CFF6" w14:textId="002A1D11"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9" behindDoc="1" locked="0" layoutInCell="1" allowOverlap="1" wp14:anchorId="6AA9C0DB" wp14:editId="2EAE2146">
                  <wp:simplePos x="0" y="0"/>
                  <wp:positionH relativeFrom="column">
                    <wp:posOffset>38735</wp:posOffset>
                  </wp:positionH>
                  <wp:positionV relativeFrom="paragraph">
                    <wp:posOffset>146998</wp:posOffset>
                  </wp:positionV>
                  <wp:extent cx="468000" cy="468000"/>
                  <wp:effectExtent l="0" t="0" r="8255" b="8255"/>
                  <wp:wrapTight wrapText="bothSides">
                    <wp:wrapPolygon edited="0">
                      <wp:start x="0" y="0"/>
                      <wp:lineTo x="0" y="21102"/>
                      <wp:lineTo x="21102" y="21102"/>
                      <wp:lineTo x="21102" y="0"/>
                      <wp:lineTo x="0" y="0"/>
                    </wp:wrapPolygon>
                  </wp:wrapTight>
                  <wp:docPr id="12" name="Picture 12" descr="F:\MITCHELL WATER\02 - DM Mitchell\6 - OHS\06 - Pre-Start Meetings\03 - Pre-Start Symbols\PPE Symbols Full Face Shield .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descr="F:\MITCHELL WATER\02 - DM Mitchell\6 - OHS\06 - Pre-Start Meetings\03 - Pre-Start Symbols\PPE Symbols Full Face Shield .jp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r>
      <w:tr w:rsidR="003622E8" w:rsidRPr="00111DF4" w14:paraId="6C8A1D4A" w14:textId="77777777" w:rsidTr="00DC1D42">
        <w:trPr>
          <w:cantSplit/>
        </w:trPr>
        <w:tc>
          <w:tcPr>
            <w:tcW w:w="10632" w:type="dxa"/>
            <w:gridSpan w:val="15"/>
            <w:shd w:val="clear" w:color="auto" w:fill="CC9900"/>
          </w:tcPr>
          <w:p w14:paraId="7F5EA26D" w14:textId="5F0AA396" w:rsidR="00111DF4" w:rsidRPr="00F14672" w:rsidRDefault="00AA578C">
            <w:pPr>
              <w:keepNext/>
              <w:rPr>
                <w:b/>
                <w:bCs/>
                <w:sz w:val="20"/>
                <w:szCs w:val="20"/>
              </w:rPr>
            </w:pPr>
            <w:r>
              <w:rPr>
                <w:b/>
                <w:bCs/>
                <w:sz w:val="20"/>
                <w:szCs w:val="20"/>
              </w:rPr>
              <w:lastRenderedPageBreak/>
              <w:t xml:space="preserve">Part 3: Safe Work Instruction Steps</w:t>
            </w:r>
          </w:p>
        </w:tc>
      </w:tr>
      <w:tr w:rsidR="0007340F" w:rsidRPr="00111DF4" w14:paraId="77976DCF" w14:textId="77777777" w:rsidTr="00DC1D42">
        <w:trPr>
          <w:cantSplit/>
          <w:trHeight w:val="840"/>
        </w:trPr>
        <w:tc>
          <w:tcPr>
            <w:tcW w:w="1905" w:type="dxa"/>
            <w:gridSpan w:val="2"/>
            <w:shd w:val="clear" w:color="auto" w:fill="F2F2F2" w:themeFill="background1" w:themeFillShade="F2"/>
          </w:tcPr>
          <w:p w14:paraId="39B822FB" w14:textId="77777777" w:rsidR="00111DF4" w:rsidRPr="00F14672" w:rsidRDefault="00111DF4" w:rsidP="00111DF4">
            <w:pPr>
              <w:keepNext/>
              <w:jc w:val="center"/>
              <w:rPr>
                <w:i/>
                <w:iCs/>
                <w:sz w:val="20"/>
                <w:szCs w:val="20"/>
              </w:rPr>
            </w:pPr>
            <w:r>
              <w:rPr>
                <w:i/>
                <w:iCs/>
                <w:sz w:val="20"/>
                <w:szCs w:val="20"/>
              </w:rPr>
              <w:t>Job Number</w:t>
            </w:r>
          </w:p>
          <w:p w14:paraId="19B147C1" w14:textId="77777777" w:rsidR="00111DF4" w:rsidRPr="00F14672" w:rsidRDefault="00111DF4" w:rsidP="00111DF4">
            <w:pPr>
              <w:keepNext/>
              <w:jc w:val="center"/>
              <w:rPr>
                <w:i/>
                <w:iCs/>
                <w:sz w:val="20"/>
                <w:szCs w:val="20"/>
              </w:rPr>
            </w:pPr>
          </w:p>
          <w:p w14:paraId="09929D17" w14:textId="262E90DD" w:rsidR="00111DF4" w:rsidRPr="00F14672" w:rsidRDefault="00111DF4" w:rsidP="00111DF4">
            <w:pPr>
              <w:keepNext/>
              <w:jc w:val="center"/>
              <w:rPr>
                <w:i/>
                <w:iCs/>
                <w:sz w:val="20"/>
                <w:szCs w:val="20"/>
              </w:rPr>
            </w:pPr>
            <w:r>
              <w:rPr>
                <w:i/>
                <w:iCs/>
                <w:sz w:val="20"/>
                <w:szCs w:val="20"/>
              </w:rPr>
              <w:t>(Hazards/Cautions)</w:t>
            </w:r>
          </w:p>
        </w:tc>
        <w:tc>
          <w:tcPr>
            <w:tcW w:w="3998" w:type="dxa"/>
            <w:gridSpan w:val="7"/>
            <w:shd w:val="clear" w:color="auto" w:fill="F2F2F2" w:themeFill="background1" w:themeFillShade="F2"/>
          </w:tcPr>
          <w:p w14:paraId="2A1750B6" w14:textId="33C78207" w:rsidR="00111DF4" w:rsidRPr="00F14672" w:rsidRDefault="00111DF4" w:rsidP="00111DF4">
            <w:pPr>
              <w:keepNext/>
              <w:jc w:val="center"/>
              <w:rPr>
                <w:i/>
                <w:iCs/>
                <w:sz w:val="20"/>
                <w:szCs w:val="20"/>
              </w:rPr>
            </w:pPr>
            <w:r>
              <w:rPr>
                <w:i/>
                <w:iCs/>
                <w:sz w:val="20"/>
                <w:szCs w:val="20"/>
              </w:rPr>
              <w:t>Application Method</w:t>
            </w:r>
          </w:p>
          <w:p w14:paraId="1B9156FA" w14:textId="77777777" w:rsidR="00111DF4" w:rsidRPr="00F14672" w:rsidRDefault="00111DF4" w:rsidP="00111DF4">
            <w:pPr>
              <w:keepNext/>
              <w:jc w:val="center"/>
              <w:rPr>
                <w:i/>
                <w:iCs/>
                <w:sz w:val="20"/>
                <w:szCs w:val="20"/>
              </w:rPr>
            </w:pPr>
          </w:p>
          <w:p w14:paraId="58A142E9" w14:textId="77777777" w:rsidR="00111DF4" w:rsidRPr="00F14672" w:rsidRDefault="00111DF4" w:rsidP="00111DF4">
            <w:pPr>
              <w:keepNext/>
              <w:jc w:val="center"/>
              <w:rPr>
                <w:i/>
                <w:iCs/>
                <w:sz w:val="20"/>
                <w:szCs w:val="20"/>
              </w:rPr>
            </w:pPr>
          </w:p>
        </w:tc>
        <w:tc>
          <w:tcPr>
            <w:tcW w:w="4729" w:type="dxa"/>
            <w:gridSpan w:val="6"/>
            <w:shd w:val="clear" w:color="auto" w:fill="F2F2F2" w:themeFill="background1" w:themeFillShade="F2"/>
          </w:tcPr>
          <w:p w14:paraId="3D90D064" w14:textId="68D037FA" w:rsidR="00111DF4" w:rsidRPr="00F14672" w:rsidRDefault="00111DF4" w:rsidP="00111DF4">
            <w:pPr>
              <w:keepNext/>
              <w:jc w:val="center"/>
              <w:rPr>
                <w:i/>
                <w:iCs/>
                <w:sz w:val="20"/>
                <w:szCs w:val="20"/>
              </w:rPr>
            </w:pPr>
            <w:r>
              <w:rPr>
                <w:i/>
                <w:iCs/>
                <w:sz w:val="20"/>
                <w:szCs w:val="20"/>
              </w:rPr>
              <w:t>Visual Reference</w:t>
            </w:r>
          </w:p>
        </w:tc>
      </w:tr>
      <w:tr w:rsidR="000A010B" w:rsidRPr="00111DF4" w14:paraId="2B8BCE09" w14:textId="77777777" w:rsidTr="00DC1D42">
        <w:trPr>
          <w:trHeight w:val="2932"/>
        </w:trPr>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Pre-start Check</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Working alone in a cyanide area</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Gas monitor or fixed detection not healthy</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Safety shower or eyewash not proven flowing</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Plant not at steady state</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you are trained and signed off against this SWI, signed on to JSEA-PRO-MET-203-006 at a communication session, and authorised by the Shift Supervisor.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a second person is in the area. Cyanide-area work is not done alone.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steady state and hold the circuit through the survey.</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Notify the control room that the task is starting, and where you will be.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personal gas monitor is on, in calibration date and reading clean.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safety shower and eyewash nearest the work are within reach and proven flowing.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area is fit - no restricted access, no gas alarm, no spill response in progress.</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0C79BB02" w14:textId="77777777" w:rsidR="000A010B" w:rsidRDefault="000A010B" w:rsidP="000A010B">
            <w:pPr>
              <w:rPr>
                <w:rFonts w:eastAsia="Times New Roman" w:cs="Times New Roman"/>
                <w:b/>
                <w:bCs/>
                <w:i/>
                <w:iCs/>
                <w:kern w:val="0"/>
                <w:sz w:val="16"/>
                <w:szCs w:val="16"/>
                <w:lang w:val="en-AU" w:eastAsia="en-AU"/>
                <w14:ligatures w14:val="none"/>
              </w:rPr>
            </w:pPr>
            <w:r>
              <w:rPr>
                <w:rFonts w:eastAsia="Times New Roman" w:cs="Times New Roman"/>
                <w:b/>
                <w:bCs/>
                <w:i/>
                <w:iCs/>
                <w:kern w:val="0"/>
                <w:sz w:val="16"/>
                <w:szCs w:val="16"/>
                <w:lang w:val="en-AU" w:eastAsia="en-AU"/>
                <w14:ligatures w14:val="none"/>
              </w:rPr>
              <w:t xml:space="preserve">Equipment Required :</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Sample containers pre-labelled by tank</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pH meter</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Free cyanide titration kit</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0.9 mm sieve</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Measuring glass</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Filter press and filter paper</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Field data sheets</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Personal protective equipment as listed in PPE Requirements</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Profile Sampling</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HCN released at the sample points</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Fall from the tank top</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Tanks not sampled in one pass</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Sample every adsorption tank in sequence in one pass.</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Take resin concentration and a resin sample from each tank on the same pass.</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66D385E2" w14:textId="04384A47" w:rsidR="000A010B" w:rsidRPr="00A5266D" w:rsidRDefault="000A010B" w:rsidP="000A010B">
            <w:pPr>
              <w:jc w:val="center"/>
              <w:rPr>
                <w:rFonts w:eastAsia="Times New Roman" w:cs="Times New Roman"/>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CAUTION: Open the sample valve slowly, with the container positioned first and the body out of the spray path. Never open a valve whose discharge cannot be seen.</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Field Determinations and Submission</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Cyanide volatilising from the sample</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Samples mixed up between tanks</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Determine pH and free cyanide in the field.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Submit solution for metal assay and resin for loading assay.</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Profile, Isotherm and Bead Size</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Deviation from the isotherm not reported</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Resin attrition not noticed</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Plot solution metal, solution cyanide and resin loading down each train.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Compare the measured profile against the design adsorption isotherm and report the deviation.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Check the bead size distribution on the resin samples as an attrition indicator.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Completion and Clean Up</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Spillage left on the ground</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Equipment not returned</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Control room not told the task is complete</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Leave the area clean. Recover spillage to the drain, not to the ground.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Return all equipment to its storage point.</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what was done, what was found and anything not completed.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Notify the control room that the task is complete.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any step not completed, with the reason.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Report to the Shift Supervisor, and record, any control in Part 2 found not in place.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bl>
    <w:tbl>
      <w:tblPr>
        <w:tblW w:w="10632" w:type="dxa"/>
        <w:tblInd w:w="-856" w:type="dxa"/>
        <w:tblBorders>
          <w:top w:val="outset" w:sz="6" w:space="0" w:color="auto"/>
          <w:left w:val="outset" w:sz="6" w:space="0" w:color="auto"/>
          <w:bottom w:val="outset" w:sz="6" w:space="0" w:color="auto"/>
          <w:right w:val="outset" w:sz="6" w:space="0" w:color="auto"/>
        </w:tblBorders>
        <w:tblCellMar>
          <w:left w:w="108" w:type="dxa"/>
          <w:right w:w="108" w:type="dxa"/>
        </w:tblCellMar>
        <w:tblLook w:val="04A0" w:firstRow="1" w:lastRow="0" w:firstColumn="1" w:lastColumn="0" w:noHBand="0" w:noVBand="1"/>
      </w:tblPr>
      <w:tblGrid>
        <w:gridCol w:w="4111"/>
        <w:gridCol w:w="6521"/>
      </w:tblGrid>
      <w:tr w:rsidR="00FE287E" w:rsidRPr="00A229BF" w14:paraId="71DE5478" w14:textId="77777777" w:rsidTr="00FE287E">
        <w:trPr>
          <w:cantSplit/>
          <w:trHeight w:val="300"/>
        </w:trPr>
        <w:tc>
          <w:tcPr>
            <w:tcW w:w="10632" w:type="dxa"/>
            <w:gridSpan w:val="2"/>
            <w:tcBorders>
              <w:top w:val="single" w:sz="6" w:space="0" w:color="auto"/>
              <w:left w:val="single" w:sz="6" w:space="0" w:color="auto"/>
              <w:bottom w:val="single" w:sz="6" w:space="0" w:color="auto"/>
              <w:right w:val="single" w:sz="6" w:space="0" w:color="auto"/>
            </w:tcBorders>
            <w:shd w:val="clear" w:color="auto" w:fill="D9D9D9"/>
            <w:hideMark/>
          </w:tcPr>
          <w:p w14:paraId="5EFB8306"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lastRenderedPageBreak/>
              <w:t>Referenced Documents</w:t>
            </w:r>
            <w:r>
              <w:rPr>
                <w:rFonts w:ascii="Aptos" w:eastAsia="Times New Roman" w:hAnsi="Aptos" w:cs="Segoe UI"/>
                <w:kern w:val="0"/>
                <w:sz w:val="20"/>
                <w:szCs w:val="20"/>
                <w:lang w:val="en-AU" w:eastAsia="en-AU"/>
                <w14:ligatures w14:val="none"/>
              </w:rPr>
              <w:t> </w:t>
            </w:r>
          </w:p>
        </w:tc>
      </w:tr>
      <w:tr w:rsidR="00FE287E" w:rsidRPr="00A229BF" w14:paraId="487D2FE1"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shd w:val="clear" w:color="auto" w:fill="F2F2F2"/>
            <w:hideMark/>
          </w:tcPr>
          <w:p w14:paraId="795B70E2"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ID</w:t>
            </w:r>
            <w:r>
              <w:rPr>
                <w:rFonts w:ascii="Aptos" w:eastAsia="Times New Roman" w:hAnsi="Aptos" w:cs="Segoe UI"/>
                <w:kern w:val="0"/>
                <w:sz w:val="20"/>
                <w:szCs w:val="20"/>
                <w:lang w:val="en-AU" w:eastAsia="en-AU"/>
                <w14:ligatures w14:val="none"/>
              </w:rPr>
              <w:t> </w:t>
            </w:r>
          </w:p>
        </w:tc>
        <w:tc>
          <w:tcPr>
            <w:tcW w:w="6521" w:type="dxa"/>
            <w:tcBorders>
              <w:top w:val="single" w:sz="6" w:space="0" w:color="auto"/>
              <w:left w:val="single" w:sz="6" w:space="0" w:color="auto"/>
              <w:bottom w:val="single" w:sz="6" w:space="0" w:color="auto"/>
              <w:right w:val="single" w:sz="6" w:space="0" w:color="auto"/>
            </w:tcBorders>
            <w:shd w:val="clear" w:color="auto" w:fill="F2F2F2"/>
            <w:hideMark/>
          </w:tcPr>
          <w:p w14:paraId="4406808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Title</w:t>
            </w:r>
            <w:r>
              <w:rPr>
                <w:rFonts w:ascii="Aptos" w:eastAsia="Times New Roman" w:hAnsi="Aptos" w:cs="Segoe UI"/>
                <w:kern w:val="0"/>
                <w:sz w:val="20"/>
                <w:szCs w:val="20"/>
                <w:lang w:val="en-AU" w:eastAsia="en-AU"/>
                <w14:ligatures w14:val="none"/>
              </w:rPr>
              <w:t> </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HM-PRC-VXX-PRO207</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Plant Surveys and Circuit Performance Assessment</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JSEA-PRO-MET-203-006</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 — Adsorption Profile Survey - Metal and Cyanide Resin Circuits</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HM-MMM-WHS-REG-XXX-R00-SWI-SWMS</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SWI / SWMS Register — tab SWI-MET</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4034-PR-PRO-002</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Sampling Protocol, ReCYN Adsorption table</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KBK-MIR-MP-PRO-MET-SOP-0049 and SOP-0058</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Resin tank sampling and profile, and resin PSD, received 11 Aug 2026</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KBK SOP-PROC-CNREC-01</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Resin transfer between adsorption tanks, received 11 Aug 2026</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HM-PRC-V01-PRO006 and PRO007</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Metal Adsorption and Cyanide Adsorption circuits</w:t>
            </w:r>
          </w:p>
        </w:tc>
      </w:tr>
    </w:tbl>
    <w:p w14:paraId="5BADA2CD" w14:textId="3C2F490A" w:rsidR="00F63814" w:rsidRDefault="00F63814" w:rsidP="00FE287E">
      <w:pPr>
        <w:rPr>
          <w:rFonts w:ascii="Aptos" w:hAnsi="Aptos" w:cstheme="minorHAnsi"/>
          <w:sz w:val="18"/>
          <w:szCs w:val="18"/>
          <w:lang w:val="en-AU" w:eastAsia="es-ES"/>
        </w:rPr>
      </w:pPr>
    </w:p>
    <w:tbl>
      <w:tblPr>
        <w:tblStyle w:val="TableGrid3"/>
        <w:tblOverlap w:val="never"/>
        <w:tblW w:w="9643" w:type="dxa"/>
        <w:jc w:val="center"/>
        <w:tblLook w:val="04A0" w:firstRow="1" w:lastRow="0" w:firstColumn="1" w:lastColumn="0" w:noHBand="0" w:noVBand="1"/>
      </w:tblPr>
      <w:tblGrid>
        <w:gridCol w:w="9643"/>
      </w:tblGrid>
      <w:tr w:rsidR="00B4400C" w:rsidRPr="00D66A74" w14:paraId="5CF0A1E0" w14:textId="77777777" w:rsidTr="00B4400C">
        <w:trPr>
          <w:cantSplit/>
          <w:trHeight w:val="303"/>
        </w:trPr>
        <w:tc>
          <w:tcPr>
            <w:tcW w:w="9643" w:type="dxa"/>
            <w:shd w:val="clear" w:color="auto" w:fill="CC9900"/>
          </w:tcPr>
          <w:p w14:paraId="7B6B42DA" w14:textId="77777777" w:rsidR="00B4400C" w:rsidRDefault="00B4400C" w:rsidP="00B4400C">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B4400C" w:rsidRPr="00D66A74" w14:paraId="28276D10" w14:textId="77777777" w:rsidTr="00B4400C">
        <w:trPr>
          <w:cantSplit/>
        </w:trPr>
        <w:tc>
          <w:tcPr>
            <w:tcW w:w="9643" w:type="dxa"/>
          </w:tcPr>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1. HCN Gas Alarm If the personal monitor or fixed detection alarms (5 ppm alarm, 10 ppm high-high), stop work, leave the area upwind and call CH19 “EMERGENCY”. Do not re-enter until the Shift Supervisor clears the area.</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2. Contact with Moving Equipment If a person is caught by or struck by an agitator, pump, screen or sample cutter, hit the nearest emergency stop, call CH19 “EMERGENCY” and call 000. Do not approach the equipment until it is isolated and locked out.</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3. Suspected Cyanide Exposure If a person becomes dizzy, short of breath or collapses, call CH19 “EMERGENCY”, call 000, and bring the cyanide antidote kit and a trained first aider. Do not give mouth-to-mouth resuscitation.</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4. Skin or Eye Contact with Slurry Flush with copious water at the safety shower or eyewash for a minimum of 15 minutes. Remove contaminated clothing while flushing. Report to the first aider.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5. Fall from Height Do not move the injured person unless they are in danger. Call CH19 “EMERGENCY”, call 000, and notify the Shift Supervisor.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6. Slip, Fall or Lifting Injury Call CH19 “EMERGENCY”, call 000 if the injury is serious, and notify the Shift Supervisor.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tc>
      </w:tr>
    </w:tbl>
    <w:p w14:paraId="1FE1FC3E" w14:textId="77777777" w:rsidR="00935A9D" w:rsidRDefault="00935A9D" w:rsidP="00FE287E">
      <w:pPr>
        <w:spacing w:before="0" w:after="0" w:line="20" w:lineRule="exact"/>
        <w:rPr>
          <w:rFonts w:ascii="Aptos" w:hAnsi="Aptos" w:cstheme="minorHAnsi"/>
          <w:sz w:val="18"/>
          <w:szCs w:val="18"/>
          <w:lang w:val="en-AU" w:eastAsia="es-ES"/>
        </w:rPr>
      </w:pPr>
    </w:p>
    <w:sectPr w:rsidR="00935A9D" w:rsidSect="004548D3">
      <w:headerReference w:type="default" r:id="rId27"/>
      <w:footerReference w:type="default" r:id="rId28"/>
      <w:pgSz w:w="11906" w:h="16838"/>
      <w:pgMar w:top="824" w:right="1440" w:bottom="1135" w:left="1440" w:header="708" w:footer="0" w:gutter="0"/>
      <w:pgBorders w:offsetFrom="page">
        <w:top w:val="single" w:sz="4" w:space="24" w:color="CC9900"/>
        <w:left w:val="single" w:sz="4" w:space="24" w:color="CC9900"/>
        <w:bottom w:val="single" w:sz="4" w:space="24" w:color="CC9900"/>
        <w:right w:val="single" w:sz="4" w:space="24" w:color="CC9900"/>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93287F" w14:textId="77777777" w:rsidR="00953CC2" w:rsidRDefault="00953CC2" w:rsidP="0073129F">
      <w:pPr>
        <w:spacing w:after="0" w:line="240" w:lineRule="auto"/>
      </w:pPr>
      <w:r>
        <w:separator/>
      </w:r>
    </w:p>
  </w:endnote>
  <w:endnote w:type="continuationSeparator" w:id="0">
    <w:p w14:paraId="4EAA76BF" w14:textId="77777777" w:rsidR="00953CC2" w:rsidRDefault="00953CC2" w:rsidP="0073129F">
      <w:pPr>
        <w:spacing w:after="0" w:line="240" w:lineRule="auto"/>
      </w:pPr>
      <w:r>
        <w:continuationSeparator/>
      </w:r>
    </w:p>
  </w:endnote>
  <w:endnote w:type="continuationNotice" w:id="1">
    <w:p w14:paraId="4989ACCD" w14:textId="77777777" w:rsidR="00953CC2" w:rsidRDefault="00953CC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1413"/>
      <w:gridCol w:w="6404"/>
      <w:gridCol w:w="1417"/>
      <w:gridCol w:w="1539"/>
    </w:tblGrid>
    <w:tr w:rsidR="00352B1F" w:rsidRPr="005C02FA" w14:paraId="3E20B001" w14:textId="77777777" w:rsidTr="003744DA">
      <w:trPr>
        <w:trHeight w:val="20"/>
        <w:jc w:val="center"/>
      </w:trPr>
      <w:tc>
        <w:tcPr>
          <w:tcW w:w="1413" w:type="dxa"/>
          <w:vAlign w:val="center"/>
        </w:tcPr>
        <w:p w14:paraId="51877C14"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Document:</w:t>
          </w:r>
        </w:p>
      </w:tc>
      <w:tc>
        <w:tcPr>
          <w:tcW w:w="6404" w:type="dxa"/>
        </w:tcPr>
        <w:p w14:paraId="55AFF1FE" w14:textId="07E9A2B8"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sidRPr="00097C0F">
            <w:rPr>
              <w:sz w:val="16"/>
              <w:szCs w:val="16"/>
            </w:rPr>
            <w:t>SWI-PRO-MET-203-006</w:t>
          </w:r>
          <w:r w:rsidR="00945F8F" w:rsidRPr="00945F8F">
            <w:rPr>
              <w:sz w:val="16"/>
              <w:szCs w:val="16"/>
            </w:rPr>
            <w:t xml:space="preserve"> — </w:t>
          </w:r>
          <w:r w:rsidR="005D5479" w:rsidRPr="005D5479">
            <w:rPr>
              <w:sz w:val="16"/>
              <w:szCs w:val="16"/>
            </w:rPr>
            <w:t>Adsorption Profile Survey - Metal and Cyanide Resin Circuits</w:t>
          </w:r>
        </w:p>
      </w:tc>
      <w:tc>
        <w:tcPr>
          <w:tcW w:w="1417" w:type="dxa"/>
          <w:vAlign w:val="center"/>
        </w:tcPr>
        <w:p w14:paraId="59E3783C" w14:textId="77777777" w:rsidR="00352B1F" w:rsidRPr="00201C58" w:rsidRDefault="00352B1F" w:rsidP="00352B1F">
          <w:pPr>
            <w:tabs>
              <w:tab w:val="center" w:pos="1344"/>
              <w:tab w:val="center" w:pos="4513"/>
              <w:tab w:val="right" w:pos="9026"/>
            </w:tabs>
            <w:spacing w:after="0" w:line="240" w:lineRule="auto"/>
            <w:rPr>
              <w:rFonts w:cstheme="minorHAnsi"/>
              <w:sz w:val="18"/>
              <w:szCs w:val="18"/>
              <w:lang w:eastAsia="en-AU"/>
            </w:rPr>
          </w:pPr>
          <w:r w:rsidRPr="00201C58">
            <w:rPr>
              <w:rFonts w:cstheme="minorHAnsi"/>
              <w:b/>
              <w:snapToGrid w:val="0"/>
              <w:sz w:val="18"/>
              <w:szCs w:val="18"/>
              <w:lang w:val="en-GB" w:eastAsia="en-AU"/>
            </w:rPr>
            <w:t>Revision Date:</w:t>
          </w:r>
        </w:p>
      </w:tc>
      <w:tc>
        <w:tcPr>
          <w:tcW w:w="1539" w:type="dxa"/>
          <w:vAlign w:val="center"/>
        </w:tcPr>
        <w:p w14:paraId="06888345" w14:textId="34112C4E" w:rsidR="00352B1F" w:rsidRPr="00201C58" w:rsidRDefault="00097C0F" w:rsidP="00352B1F">
          <w:pPr>
            <w:tabs>
              <w:tab w:val="center" w:pos="1344"/>
              <w:tab w:val="center" w:pos="4513"/>
              <w:tab w:val="right" w:pos="9026"/>
            </w:tabs>
            <w:spacing w:after="0" w:line="240" w:lineRule="auto"/>
            <w:jc w:val="right"/>
            <w:rPr>
              <w:rFonts w:cstheme="minorHAnsi"/>
              <w:sz w:val="18"/>
              <w:szCs w:val="18"/>
              <w:lang w:eastAsia="en-AU"/>
            </w:rPr>
          </w:pPr>
          <w:r>
            <w:rPr>
              <w:rFonts w:cstheme="minorHAnsi"/>
              <w:sz w:val="18"/>
              <w:szCs w:val="18"/>
              <w:lang w:eastAsia="en-AU"/>
            </w:rPr>
            <w:t>11</w:t>
          </w:r>
          <w:r w:rsidR="00352B1F">
            <w:rPr>
              <w:rFonts w:cstheme="minorHAnsi"/>
              <w:sz w:val="18"/>
              <w:szCs w:val="18"/>
              <w:lang w:eastAsia="en-AU"/>
            </w:rPr>
            <w:t>/</w:t>
          </w:r>
          <w:r>
            <w:rPr>
              <w:rFonts w:cstheme="minorHAnsi"/>
              <w:sz w:val="18"/>
              <w:szCs w:val="18"/>
              <w:lang w:eastAsia="en-AU"/>
            </w:rPr>
            <w:t>08</w:t>
          </w:r>
          <w:r w:rsidR="00352B1F">
            <w:rPr>
              <w:rFonts w:cstheme="minorHAnsi"/>
              <w:sz w:val="18"/>
              <w:szCs w:val="18"/>
              <w:lang w:eastAsia="en-AU"/>
            </w:rPr>
            <w:t>/2026</w:t>
          </w:r>
          <w:r>
            <w:rPr>
              <w:rFonts w:cstheme="minorHAnsi"/>
              <w:sz w:val="18"/>
              <w:szCs w:val="18"/>
              <w:lang w:eastAsia="en-AU"/>
            </w:rPr>
            <w:t/>
          </w:r>
        </w:p>
      </w:tc>
    </w:tr>
    <w:tr w:rsidR="00352B1F" w:rsidRPr="005C02FA" w14:paraId="04C607A3" w14:textId="77777777" w:rsidTr="00F82BE4">
      <w:trPr>
        <w:trHeight w:val="20"/>
        <w:jc w:val="center"/>
      </w:trPr>
      <w:tc>
        <w:tcPr>
          <w:tcW w:w="1413" w:type="dxa"/>
          <w:vAlign w:val="center"/>
        </w:tcPr>
        <w:p w14:paraId="070CEA36"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Revision No.:</w:t>
          </w:r>
        </w:p>
      </w:tc>
      <w:tc>
        <w:tcPr>
          <w:tcW w:w="6404" w:type="dxa"/>
          <w:vAlign w:val="center"/>
        </w:tcPr>
        <w:p w14:paraId="1581D6E9" w14:textId="1405FBEA"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Pr>
              <w:rFonts w:cstheme="minorHAnsi"/>
              <w:sz w:val="18"/>
              <w:szCs w:val="18"/>
              <w:lang w:eastAsia="en-AU"/>
            </w:rPr>
            <w:t>A</w:t>
          </w:r>
        </w:p>
      </w:tc>
      <w:tc>
        <w:tcPr>
          <w:tcW w:w="1417" w:type="dxa"/>
          <w:vAlign w:val="center"/>
        </w:tcPr>
        <w:p w14:paraId="311E7273" w14:textId="77777777" w:rsidR="00352B1F" w:rsidRPr="00201C58" w:rsidRDefault="00352B1F" w:rsidP="00352B1F">
          <w:pPr>
            <w:tabs>
              <w:tab w:val="center" w:pos="1344"/>
              <w:tab w:val="center" w:pos="4513"/>
              <w:tab w:val="right" w:pos="9026"/>
            </w:tabs>
            <w:spacing w:after="0" w:line="240" w:lineRule="auto"/>
            <w:ind w:right="-111"/>
            <w:rPr>
              <w:rFonts w:cstheme="minorHAnsi"/>
              <w:b/>
              <w:sz w:val="18"/>
              <w:szCs w:val="18"/>
              <w:lang w:eastAsia="en-AU"/>
            </w:rPr>
          </w:pPr>
          <w:r w:rsidRPr="00201C58">
            <w:rPr>
              <w:rFonts w:cstheme="minorHAnsi"/>
              <w:b/>
              <w:sz w:val="18"/>
              <w:szCs w:val="18"/>
              <w:lang w:eastAsia="en-AU"/>
            </w:rPr>
            <w:t>Page:</w:t>
          </w:r>
        </w:p>
      </w:tc>
      <w:tc>
        <w:tcPr>
          <w:tcW w:w="1539" w:type="dxa"/>
          <w:vAlign w:val="center"/>
        </w:tcPr>
        <w:p w14:paraId="78197C64" w14:textId="77777777" w:rsidR="00352B1F" w:rsidRPr="00201C58" w:rsidRDefault="00352B1F" w:rsidP="00352B1F">
          <w:pPr>
            <w:tabs>
              <w:tab w:val="center" w:pos="1344"/>
              <w:tab w:val="center" w:pos="4513"/>
              <w:tab w:val="right" w:pos="9026"/>
            </w:tabs>
            <w:spacing w:after="0" w:line="240" w:lineRule="auto"/>
            <w:jc w:val="right"/>
            <w:rPr>
              <w:rFonts w:cstheme="minorHAnsi"/>
              <w:b/>
              <w:bCs/>
              <w:sz w:val="18"/>
              <w:szCs w:val="18"/>
              <w:lang w:eastAsia="en-AU"/>
            </w:rPr>
          </w:pPr>
          <w:r w:rsidRPr="00201C58">
            <w:rPr>
              <w:rFonts w:cstheme="minorHAnsi"/>
              <w:sz w:val="18"/>
              <w:szCs w:val="18"/>
              <w:lang w:eastAsia="en-AU"/>
            </w:rPr>
            <w:fldChar w:fldCharType="begin"/>
          </w:r>
          <w:r w:rsidRPr="00201C58">
            <w:rPr>
              <w:rFonts w:cstheme="minorHAnsi"/>
              <w:sz w:val="18"/>
              <w:szCs w:val="18"/>
              <w:lang w:eastAsia="en-AU"/>
            </w:rPr>
            <w:instrText xml:space="preserve"> PAGE </w:instrText>
          </w:r>
          <w:r w:rsidRPr="00201C58">
            <w:rPr>
              <w:rFonts w:cstheme="minorHAnsi"/>
              <w:sz w:val="18"/>
              <w:szCs w:val="18"/>
              <w:lang w:eastAsia="en-AU"/>
            </w:rPr>
            <w:fldChar w:fldCharType="separate"/>
          </w:r>
          <w:r>
            <w:rPr>
              <w:rFonts w:cstheme="minorHAnsi"/>
              <w:sz w:val="18"/>
              <w:szCs w:val="18"/>
              <w:lang w:eastAsia="en-AU"/>
            </w:rPr>
            <w:t>1</w:t>
          </w:r>
          <w:r w:rsidRPr="00201C58">
            <w:rPr>
              <w:rFonts w:cstheme="minorHAnsi"/>
              <w:sz w:val="18"/>
              <w:szCs w:val="18"/>
              <w:lang w:eastAsia="en-AU"/>
            </w:rPr>
            <w:fldChar w:fldCharType="end"/>
          </w:r>
          <w:r w:rsidRPr="00201C58">
            <w:rPr>
              <w:rFonts w:cstheme="minorHAnsi"/>
              <w:sz w:val="18"/>
              <w:szCs w:val="18"/>
              <w:lang w:eastAsia="en-AU"/>
            </w:rPr>
            <w:t xml:space="preserve"> of </w:t>
          </w:r>
          <w:r w:rsidRPr="00201C58">
            <w:rPr>
              <w:rFonts w:cstheme="minorHAnsi"/>
              <w:sz w:val="18"/>
              <w:szCs w:val="18"/>
              <w:lang w:eastAsia="en-AU"/>
            </w:rPr>
            <w:fldChar w:fldCharType="begin"/>
          </w:r>
          <w:r w:rsidRPr="00201C58">
            <w:rPr>
              <w:rFonts w:cstheme="minorHAnsi"/>
              <w:sz w:val="18"/>
              <w:szCs w:val="18"/>
              <w:lang w:eastAsia="en-AU"/>
            </w:rPr>
            <w:instrText xml:space="preserve"> NUMPAGES  </w:instrText>
          </w:r>
          <w:r w:rsidRPr="00201C58">
            <w:rPr>
              <w:rFonts w:cstheme="minorHAnsi"/>
              <w:sz w:val="18"/>
              <w:szCs w:val="18"/>
              <w:lang w:eastAsia="en-AU"/>
            </w:rPr>
            <w:fldChar w:fldCharType="separate"/>
          </w:r>
          <w:r>
            <w:rPr>
              <w:rFonts w:cstheme="minorHAnsi"/>
              <w:sz w:val="18"/>
              <w:szCs w:val="18"/>
              <w:lang w:eastAsia="en-AU"/>
            </w:rPr>
            <w:t>14</w:t>
          </w:r>
          <w:r w:rsidRPr="00201C58">
            <w:rPr>
              <w:rFonts w:cstheme="minorHAnsi"/>
              <w:sz w:val="18"/>
              <w:szCs w:val="18"/>
              <w:lang w:eastAsia="en-AU"/>
            </w:rPr>
            <w:fldChar w:fldCharType="end"/>
          </w:r>
        </w:p>
      </w:tc>
    </w:tr>
  </w:tbl>
  <w:p w14:paraId="6BD8E810" w14:textId="19A410E5" w:rsidR="00AA555C" w:rsidRDefault="00AA555C" w:rsidP="00F82BE4">
    <w:pPr>
      <w:pStyle w:val="Footer"/>
      <w:tabs>
        <w:tab w:val="clear" w:pos="4513"/>
        <w:tab w:val="clear" w:pos="9026"/>
        <w:tab w:val="left" w:pos="3480"/>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33765C" w14:textId="77777777" w:rsidR="00953CC2" w:rsidRDefault="00953CC2" w:rsidP="0073129F">
      <w:pPr>
        <w:spacing w:after="0" w:line="240" w:lineRule="auto"/>
      </w:pPr>
      <w:r>
        <w:separator/>
      </w:r>
    </w:p>
  </w:footnote>
  <w:footnote w:type="continuationSeparator" w:id="0">
    <w:p w14:paraId="36115DCC" w14:textId="77777777" w:rsidR="00953CC2" w:rsidRDefault="00953CC2" w:rsidP="0073129F">
      <w:pPr>
        <w:spacing w:after="0" w:line="240" w:lineRule="auto"/>
      </w:pPr>
      <w:r>
        <w:continuationSeparator/>
      </w:r>
    </w:p>
  </w:footnote>
  <w:footnote w:type="continuationNotice" w:id="1">
    <w:p w14:paraId="13ED8269" w14:textId="77777777" w:rsidR="00953CC2" w:rsidRDefault="00953CC2">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Layout w:type="fixed"/>
      <w:tblLook w:val="04A0" w:firstRow="1" w:lastRow="0" w:firstColumn="1" w:lastColumn="0" w:noHBand="0" w:noVBand="1"/>
    </w:tblPr>
    <w:tblGrid>
      <w:gridCol w:w="1980"/>
      <w:gridCol w:w="7229"/>
      <w:gridCol w:w="992"/>
      <w:gridCol w:w="572"/>
    </w:tblGrid>
    <w:tr w:rsidR="00F82BE4" w:rsidRPr="00A35456" w14:paraId="2DC818DF" w14:textId="77777777" w:rsidTr="003744DA">
      <w:trPr>
        <w:trHeight w:val="165"/>
        <w:jc w:val="center"/>
      </w:trPr>
      <w:tc>
        <w:tcPr>
          <w:tcW w:w="1980" w:type="dxa"/>
          <w:shd w:val="clear" w:color="auto" w:fill="FFFFFF"/>
          <w:vAlign w:val="center"/>
        </w:tcPr>
        <w:p w14:paraId="5C4B480D" w14:textId="77777777" w:rsidR="00F82BE4" w:rsidRPr="00A35456" w:rsidRDefault="00F82BE4" w:rsidP="00F82BE4">
          <w:pPr>
            <w:tabs>
              <w:tab w:val="left" w:pos="3402"/>
              <w:tab w:val="center" w:pos="4513"/>
              <w:tab w:val="left" w:pos="5954"/>
              <w:tab w:val="right" w:pos="9026"/>
            </w:tabs>
            <w:ind w:left="-115" w:right="-107"/>
            <w:jc w:val="center"/>
            <w:rPr>
              <w:b/>
              <w:color w:val="000000"/>
              <w:sz w:val="36"/>
              <w:szCs w:val="36"/>
              <w:lang w:eastAsia="en-AU"/>
            </w:rPr>
          </w:pPr>
          <w:bookmarkStart w:id="0" w:name="_Hlk87281182"/>
          <w:r w:rsidRPr="00A35456">
            <w:rPr>
              <w:noProof/>
              <w:sz w:val="20"/>
              <w:szCs w:val="20"/>
            </w:rPr>
            <w:drawing>
              <wp:inline distT="0" distB="0" distL="0" distR="0" wp14:anchorId="3DE15B11" wp14:editId="096F6788">
                <wp:extent cx="1239769" cy="268057"/>
                <wp:effectExtent l="0" t="0" r="0" b="0"/>
                <wp:docPr id="1020201027" name="Picture 1020201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39769" cy="268057"/>
                        </a:xfrm>
                        <a:prstGeom prst="rect">
                          <a:avLst/>
                        </a:prstGeom>
                        <a:noFill/>
                        <a:ln>
                          <a:noFill/>
                        </a:ln>
                      </pic:spPr>
                    </pic:pic>
                  </a:graphicData>
                </a:graphic>
              </wp:inline>
            </w:drawing>
          </w:r>
        </w:p>
      </w:tc>
      <w:tc>
        <w:tcPr>
          <w:tcW w:w="7229" w:type="dxa"/>
          <w:shd w:val="clear" w:color="auto" w:fill="FFFFFF" w:themeFill="background1"/>
          <w:vAlign w:val="center"/>
        </w:tcPr>
        <w:p w14:paraId="4C9B15E1" w14:textId="77777777" w:rsidR="004548D3" w:rsidRPr="00022212" w:rsidRDefault="004548D3" w:rsidP="004548D3">
          <w:pPr>
            <w:tabs>
              <w:tab w:val="left" w:pos="3402"/>
              <w:tab w:val="center" w:pos="4513"/>
              <w:tab w:val="left" w:pos="5954"/>
              <w:tab w:val="right" w:pos="9026"/>
            </w:tabs>
            <w:jc w:val="center"/>
            <w:rPr>
              <w:rFonts w:cstheme="minorHAnsi"/>
              <w:b/>
              <w:noProof/>
              <w:color w:val="996633"/>
              <w:sz w:val="28"/>
              <w:szCs w:val="28"/>
              <w:lang w:eastAsia="en-AU"/>
            </w:rPr>
          </w:pPr>
          <w:r w:rsidRPr="00022212">
            <w:rPr>
              <w:rFonts w:cstheme="minorHAnsi"/>
              <w:b/>
              <w:color w:val="595959" w:themeColor="text1" w:themeTint="A6"/>
              <w:sz w:val="36"/>
              <w:szCs w:val="36"/>
              <w:lang w:eastAsia="en-AU"/>
            </w:rPr>
            <w:t>Safe Work Instruction</w:t>
          </w:r>
          <w:r w:rsidRPr="00022212">
            <w:rPr>
              <w:rFonts w:cstheme="minorHAnsi"/>
              <w:b/>
              <w:noProof/>
              <w:color w:val="996633"/>
              <w:sz w:val="28"/>
              <w:szCs w:val="28"/>
              <w:lang w:eastAsia="en-AU"/>
            </w:rPr>
            <w:t xml:space="preserve"> </w:t>
          </w:r>
        </w:p>
        <w:p w14:paraId="4F17F1A4" w14:textId="7E9C641D" w:rsidR="00F82BE4" w:rsidRPr="005D67F0" w:rsidRDefault="00CA3181" w:rsidP="004548D3">
          <w:pPr>
            <w:tabs>
              <w:tab w:val="left" w:pos="3402"/>
              <w:tab w:val="center" w:pos="4513"/>
              <w:tab w:val="left" w:pos="5954"/>
              <w:tab w:val="right" w:pos="9026"/>
            </w:tabs>
            <w:jc w:val="center"/>
            <w:rPr>
              <w:rFonts w:cstheme="minorHAnsi"/>
              <w:b/>
              <w:noProof/>
              <w:color w:val="996633"/>
              <w:sz w:val="32"/>
              <w:szCs w:val="32"/>
              <w:lang w:eastAsia="en-AU"/>
            </w:rPr>
          </w:pPr>
          <w:r w:rsidRPr="00CA3181">
            <w:rPr>
              <w:rFonts w:cstheme="minorHAnsi"/>
              <w:b/>
              <w:noProof/>
              <w:color w:val="996633"/>
              <w:sz w:val="24"/>
              <w:szCs w:val="24"/>
              <w:lang w:eastAsia="en-AU"/>
            </w:rPr>
            <w:t>Adsorption Profile Survey - Metal and Cyanide Resin Circuits</w:t>
          </w:r>
        </w:p>
      </w:tc>
      <w:tc>
        <w:tcPr>
          <w:tcW w:w="992" w:type="dxa"/>
          <w:shd w:val="clear" w:color="auto" w:fill="FFFFFF"/>
          <w:vAlign w:val="center"/>
        </w:tcPr>
        <w:p w14:paraId="649DEF07" w14:textId="77777777" w:rsidR="00F82BE4"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1E38368" wp14:editId="6034ECB2">
                <wp:extent cx="252730" cy="252730"/>
                <wp:effectExtent l="0" t="0" r="1270" b="1270"/>
                <wp:docPr id="1550117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543043" name=""/>
                        <pic:cNvPicPr/>
                      </pic:nvPicPr>
                      <pic:blipFill>
                        <a:blip r:embed="rId2"/>
                        <a:stretch>
                          <a:fillRect/>
                        </a:stretch>
                      </pic:blipFill>
                      <pic:spPr>
                        <a:xfrm>
                          <a:off x="0" y="0"/>
                          <a:ext cx="291725" cy="291725"/>
                        </a:xfrm>
                        <a:prstGeom prst="rect">
                          <a:avLst/>
                        </a:prstGeom>
                      </pic:spPr>
                    </pic:pic>
                  </a:graphicData>
                </a:graphic>
              </wp:inline>
            </w:drawing>
          </w:r>
          <w:r w:rsidRPr="00AA43B2">
            <w:rPr>
              <w:noProof/>
            </w:rPr>
            <w:drawing>
              <wp:inline distT="0" distB="0" distL="0" distR="0" wp14:anchorId="6969402E" wp14:editId="05D0048C">
                <wp:extent cx="251460" cy="251460"/>
                <wp:effectExtent l="0" t="0" r="2540" b="2540"/>
                <wp:docPr id="130316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8852" name=""/>
                        <pic:cNvPicPr/>
                      </pic:nvPicPr>
                      <pic:blipFill>
                        <a:blip r:embed="rId3"/>
                        <a:stretch>
                          <a:fillRect/>
                        </a:stretch>
                      </pic:blipFill>
                      <pic:spPr>
                        <a:xfrm>
                          <a:off x="0" y="0"/>
                          <a:ext cx="316230" cy="316230"/>
                        </a:xfrm>
                        <a:prstGeom prst="rect">
                          <a:avLst/>
                        </a:prstGeom>
                      </pic:spPr>
                    </pic:pic>
                  </a:graphicData>
                </a:graphic>
              </wp:inline>
            </w:drawing>
          </w:r>
        </w:p>
        <w:p w14:paraId="19E7C034" w14:textId="77777777" w:rsidR="00F82BE4" w:rsidRPr="00A35456"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84B2E8D" wp14:editId="174599D6">
                <wp:extent cx="251460" cy="251460"/>
                <wp:effectExtent l="0" t="0" r="2540" b="2540"/>
                <wp:docPr id="2010087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136609" name=""/>
                        <pic:cNvPicPr/>
                      </pic:nvPicPr>
                      <pic:blipFill>
                        <a:blip r:embed="rId4"/>
                        <a:stretch>
                          <a:fillRect/>
                        </a:stretch>
                      </pic:blipFill>
                      <pic:spPr>
                        <a:xfrm>
                          <a:off x="0" y="0"/>
                          <a:ext cx="262770" cy="262770"/>
                        </a:xfrm>
                        <a:prstGeom prst="rect">
                          <a:avLst/>
                        </a:prstGeom>
                      </pic:spPr>
                    </pic:pic>
                  </a:graphicData>
                </a:graphic>
              </wp:inline>
            </w:drawing>
          </w:r>
          <w:r w:rsidRPr="00AA43B2">
            <w:rPr>
              <w:noProof/>
            </w:rPr>
            <w:drawing>
              <wp:inline distT="0" distB="0" distL="0" distR="0" wp14:anchorId="642B6C93" wp14:editId="70F12854">
                <wp:extent cx="251502" cy="251502"/>
                <wp:effectExtent l="0" t="0" r="2540" b="2540"/>
                <wp:docPr id="1838928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456593" name=""/>
                        <pic:cNvPicPr/>
                      </pic:nvPicPr>
                      <pic:blipFill>
                        <a:blip r:embed="rId5"/>
                        <a:stretch>
                          <a:fillRect/>
                        </a:stretch>
                      </pic:blipFill>
                      <pic:spPr>
                        <a:xfrm>
                          <a:off x="0" y="0"/>
                          <a:ext cx="268490" cy="268490"/>
                        </a:xfrm>
                        <a:prstGeom prst="rect">
                          <a:avLst/>
                        </a:prstGeom>
                      </pic:spPr>
                    </pic:pic>
                  </a:graphicData>
                </a:graphic>
              </wp:inline>
            </w:drawing>
          </w:r>
        </w:p>
      </w:tc>
      <w:tc>
        <w:tcPr>
          <w:tcW w:w="572" w:type="dxa"/>
          <w:vAlign w:val="center"/>
          <w:hideMark/>
        </w:tcPr>
        <w:p w14:paraId="6AC54A81" w14:textId="77777777" w:rsidR="00F82BE4" w:rsidRPr="00A35456" w:rsidRDefault="00F82BE4" w:rsidP="00F82BE4">
          <w:pPr>
            <w:tabs>
              <w:tab w:val="left" w:pos="3402"/>
              <w:tab w:val="center" w:pos="4513"/>
              <w:tab w:val="left" w:pos="5954"/>
              <w:tab w:val="right" w:pos="9026"/>
            </w:tabs>
            <w:ind w:left="-106" w:right="-106"/>
            <w:jc w:val="center"/>
            <w:rPr>
              <w:b/>
              <w:color w:val="404040"/>
              <w:sz w:val="28"/>
              <w:szCs w:val="28"/>
              <w:lang w:eastAsia="en-AU"/>
            </w:rPr>
          </w:pPr>
          <w:r>
            <w:rPr>
              <w:b/>
              <w:noProof/>
              <w:color w:val="404040"/>
              <w:sz w:val="28"/>
              <w:szCs w:val="28"/>
              <w:lang w:eastAsia="en-AU"/>
            </w:rPr>
            <w:drawing>
              <wp:inline distT="0" distB="0" distL="0" distR="0" wp14:anchorId="6EA5120D" wp14:editId="4DB28085">
                <wp:extent cx="341630" cy="298450"/>
                <wp:effectExtent l="0" t="0" r="1270" b="6350"/>
                <wp:docPr id="2083345562" name="Picture 20833455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87118" cy="338189"/>
                        </a:xfrm>
                        <a:prstGeom prst="rect">
                          <a:avLst/>
                        </a:prstGeom>
                        <a:noFill/>
                      </pic:spPr>
                    </pic:pic>
                  </a:graphicData>
                </a:graphic>
              </wp:inline>
            </w:drawing>
          </w:r>
        </w:p>
      </w:tc>
    </w:tr>
    <w:bookmarkEnd w:id="0"/>
  </w:tbl>
  <w:p w14:paraId="4DA98ACF" w14:textId="52D1F906" w:rsidR="0073129F" w:rsidRPr="00F82BE4" w:rsidRDefault="0073129F" w:rsidP="00F82BE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5B4232"/>
    <w:multiLevelType w:val="hybridMultilevel"/>
    <w:tmpl w:val="87429854"/>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 w15:restartNumberingAfterBreak="0">
    <w:nsid w:val="21707D6A"/>
    <w:multiLevelType w:val="hybridMultilevel"/>
    <w:tmpl w:val="9E8A8992"/>
    <w:lvl w:ilvl="0" w:tplc="A300C0A2">
      <w:start w:val="5"/>
      <w:numFmt w:val="bullet"/>
      <w:lvlText w:val="-"/>
      <w:lvlJc w:val="left"/>
      <w:pPr>
        <w:ind w:left="720" w:hanging="360"/>
      </w:pPr>
      <w:rPr>
        <w:rFonts w:ascii="Aptos" w:eastAsia="Times New Roman" w:hAnsi="Apto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7DB2D59"/>
    <w:multiLevelType w:val="hybridMultilevel"/>
    <w:tmpl w:val="BF48D5BE"/>
    <w:lvl w:ilvl="0" w:tplc="0C090017">
      <w:start w:val="1"/>
      <w:numFmt w:val="lowerLetter"/>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31A41060"/>
    <w:multiLevelType w:val="hybridMultilevel"/>
    <w:tmpl w:val="AAACF98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37B436EF"/>
    <w:multiLevelType w:val="hybridMultilevel"/>
    <w:tmpl w:val="671620E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7EA5383"/>
    <w:multiLevelType w:val="hybridMultilevel"/>
    <w:tmpl w:val="1172A7E8"/>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4F3D2CDD"/>
    <w:multiLevelType w:val="hybridMultilevel"/>
    <w:tmpl w:val="BC18715A"/>
    <w:lvl w:ilvl="0" w:tplc="FFFFFFFF">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5A5424FD"/>
    <w:multiLevelType w:val="hybridMultilevel"/>
    <w:tmpl w:val="E2F2DFBA"/>
    <w:lvl w:ilvl="0" w:tplc="A504F706">
      <w:start w:val="1"/>
      <w:numFmt w:val="lowerLetter"/>
      <w:lvlText w:val="%1)"/>
      <w:lvlJc w:val="left"/>
      <w:pPr>
        <w:ind w:left="360" w:hanging="360"/>
      </w:pPr>
      <w:rPr>
        <w:b w:val="0"/>
        <w:bCs w:val="0"/>
      </w:r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60C07C65"/>
    <w:multiLevelType w:val="hybridMultilevel"/>
    <w:tmpl w:val="E7D6BD5E"/>
    <w:lvl w:ilvl="0" w:tplc="0C090017">
      <w:start w:val="1"/>
      <w:numFmt w:val="lowerLetter"/>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9" w15:restartNumberingAfterBreak="0">
    <w:nsid w:val="71371F0D"/>
    <w:multiLevelType w:val="hybridMultilevel"/>
    <w:tmpl w:val="D918F092"/>
    <w:lvl w:ilvl="0" w:tplc="0C090017">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 w15:restartNumberingAfterBreak="0">
    <w:nsid w:val="72917361"/>
    <w:multiLevelType w:val="hybridMultilevel"/>
    <w:tmpl w:val="459CBD3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1" w15:restartNumberingAfterBreak="0">
    <w:nsid w:val="746D5615"/>
    <w:multiLevelType w:val="hybridMultilevel"/>
    <w:tmpl w:val="670A743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78872DE7"/>
    <w:multiLevelType w:val="hybridMultilevel"/>
    <w:tmpl w:val="899EDD9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3" w15:restartNumberingAfterBreak="0">
    <w:nsid w:val="7F110455"/>
    <w:multiLevelType w:val="hybridMultilevel"/>
    <w:tmpl w:val="BB92499C"/>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516427121">
    <w:abstractNumId w:val="5"/>
  </w:num>
  <w:num w:numId="2" w16cid:durableId="30808678">
    <w:abstractNumId w:val="13"/>
  </w:num>
  <w:num w:numId="3" w16cid:durableId="74859805">
    <w:abstractNumId w:val="4"/>
  </w:num>
  <w:num w:numId="4" w16cid:durableId="1995143245">
    <w:abstractNumId w:val="11"/>
  </w:num>
  <w:num w:numId="5" w16cid:durableId="374697534">
    <w:abstractNumId w:val="0"/>
  </w:num>
  <w:num w:numId="6" w16cid:durableId="493032746">
    <w:abstractNumId w:val="3"/>
  </w:num>
  <w:num w:numId="7" w16cid:durableId="1075787084">
    <w:abstractNumId w:val="7"/>
  </w:num>
  <w:num w:numId="8" w16cid:durableId="1736049322">
    <w:abstractNumId w:val="9"/>
  </w:num>
  <w:num w:numId="9" w16cid:durableId="1593198212">
    <w:abstractNumId w:val="6"/>
  </w:num>
  <w:num w:numId="10" w16cid:durableId="1127238534">
    <w:abstractNumId w:val="2"/>
  </w:num>
  <w:num w:numId="11" w16cid:durableId="1151168695">
    <w:abstractNumId w:val="10"/>
  </w:num>
  <w:num w:numId="12" w16cid:durableId="694893133">
    <w:abstractNumId w:val="8"/>
  </w:num>
  <w:num w:numId="13" w16cid:durableId="508525208">
    <w:abstractNumId w:val="12"/>
  </w:num>
  <w:num w:numId="14" w16cid:durableId="270745632">
    <w:abstractNumId w:val="1"/>
  </w:num>
  <w:num w:numId="15">
    <w:abstractNumId w:val="9"/>
    <w:lvlOverride w:ilvl="0">
      <w:startOverride w:val="1"/>
    </w:lvlOverride>
  </w:num>
  <w:num w:numId="16">
    <w:abstractNumId w:val="9"/>
    <w:lvlOverride w:ilvl="0">
      <w:startOverride w:val="1"/>
    </w:lvlOverride>
  </w:num>
  <w:num w:numId="17">
    <w:abstractNumId w:val="9"/>
    <w:lvlOverride w:ilvl="0">
      <w:startOverride w:val="1"/>
    </w:lvlOverride>
  </w:num>
  <w:num w:numId="18">
    <w:abstractNumId w:val="9"/>
    <w:lvlOverride w:ilvl="0">
      <w:startOverride w:val="1"/>
    </w:lvlOverride>
  </w:num>
  <w:num w:numId="19">
    <w:abstractNumId w:val="9"/>
    <w:lvlOverride w:ilvl="0">
      <w:startOverride w:val="1"/>
    </w:lvlOverride>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129F"/>
    <w:rsid w:val="000107B7"/>
    <w:rsid w:val="00011536"/>
    <w:rsid w:val="000238F6"/>
    <w:rsid w:val="000528C6"/>
    <w:rsid w:val="00057689"/>
    <w:rsid w:val="00071B9F"/>
    <w:rsid w:val="0007340F"/>
    <w:rsid w:val="00077B99"/>
    <w:rsid w:val="000901E3"/>
    <w:rsid w:val="00097C0F"/>
    <w:rsid w:val="00097CBB"/>
    <w:rsid w:val="000A010B"/>
    <w:rsid w:val="000A2C96"/>
    <w:rsid w:val="000C5CB1"/>
    <w:rsid w:val="000D3AF8"/>
    <w:rsid w:val="000D6F3A"/>
    <w:rsid w:val="000D7965"/>
    <w:rsid w:val="000E0A82"/>
    <w:rsid w:val="000F32C3"/>
    <w:rsid w:val="000F4704"/>
    <w:rsid w:val="000F6F0D"/>
    <w:rsid w:val="000F72AB"/>
    <w:rsid w:val="00111DF4"/>
    <w:rsid w:val="0011668A"/>
    <w:rsid w:val="0013076A"/>
    <w:rsid w:val="00132C16"/>
    <w:rsid w:val="00135A28"/>
    <w:rsid w:val="00154950"/>
    <w:rsid w:val="00155C9B"/>
    <w:rsid w:val="00167C78"/>
    <w:rsid w:val="00170914"/>
    <w:rsid w:val="001738EC"/>
    <w:rsid w:val="00181951"/>
    <w:rsid w:val="00186E2E"/>
    <w:rsid w:val="0018795A"/>
    <w:rsid w:val="001B1A23"/>
    <w:rsid w:val="001E6BAF"/>
    <w:rsid w:val="001F5752"/>
    <w:rsid w:val="002027CF"/>
    <w:rsid w:val="00204486"/>
    <w:rsid w:val="00205825"/>
    <w:rsid w:val="00212F25"/>
    <w:rsid w:val="002132C8"/>
    <w:rsid w:val="00220EE8"/>
    <w:rsid w:val="0024388D"/>
    <w:rsid w:val="002549D2"/>
    <w:rsid w:val="00254EFE"/>
    <w:rsid w:val="00276080"/>
    <w:rsid w:val="00286FD3"/>
    <w:rsid w:val="00291A80"/>
    <w:rsid w:val="00294C35"/>
    <w:rsid w:val="002A7F0F"/>
    <w:rsid w:val="002C0CFB"/>
    <w:rsid w:val="002C1FC0"/>
    <w:rsid w:val="002C3578"/>
    <w:rsid w:val="002D49A2"/>
    <w:rsid w:val="002F038A"/>
    <w:rsid w:val="00302030"/>
    <w:rsid w:val="00315195"/>
    <w:rsid w:val="0033451D"/>
    <w:rsid w:val="00350407"/>
    <w:rsid w:val="00352B1F"/>
    <w:rsid w:val="003622E8"/>
    <w:rsid w:val="00371267"/>
    <w:rsid w:val="00373CFA"/>
    <w:rsid w:val="00373ECB"/>
    <w:rsid w:val="003744DA"/>
    <w:rsid w:val="003751C4"/>
    <w:rsid w:val="00375845"/>
    <w:rsid w:val="00377EFB"/>
    <w:rsid w:val="0038655F"/>
    <w:rsid w:val="003A51A2"/>
    <w:rsid w:val="003C14E2"/>
    <w:rsid w:val="003D177E"/>
    <w:rsid w:val="003F7898"/>
    <w:rsid w:val="00422F32"/>
    <w:rsid w:val="004548D3"/>
    <w:rsid w:val="00456059"/>
    <w:rsid w:val="00460630"/>
    <w:rsid w:val="004A2C3E"/>
    <w:rsid w:val="004A6DAB"/>
    <w:rsid w:val="004B4762"/>
    <w:rsid w:val="004B6970"/>
    <w:rsid w:val="004C5CD7"/>
    <w:rsid w:val="004D1D49"/>
    <w:rsid w:val="004D6FA7"/>
    <w:rsid w:val="004E7855"/>
    <w:rsid w:val="005164A1"/>
    <w:rsid w:val="0054569A"/>
    <w:rsid w:val="00554A57"/>
    <w:rsid w:val="00563DE5"/>
    <w:rsid w:val="0057138F"/>
    <w:rsid w:val="00593929"/>
    <w:rsid w:val="0059556D"/>
    <w:rsid w:val="005A0C82"/>
    <w:rsid w:val="005A1922"/>
    <w:rsid w:val="005A397C"/>
    <w:rsid w:val="005C0290"/>
    <w:rsid w:val="005C39FE"/>
    <w:rsid w:val="005D5479"/>
    <w:rsid w:val="005F1240"/>
    <w:rsid w:val="0060588B"/>
    <w:rsid w:val="00606C2B"/>
    <w:rsid w:val="006263DC"/>
    <w:rsid w:val="00636AB0"/>
    <w:rsid w:val="0064550C"/>
    <w:rsid w:val="006455F1"/>
    <w:rsid w:val="00646D93"/>
    <w:rsid w:val="00652D06"/>
    <w:rsid w:val="00660CF2"/>
    <w:rsid w:val="0066160F"/>
    <w:rsid w:val="00670544"/>
    <w:rsid w:val="00671173"/>
    <w:rsid w:val="0067385A"/>
    <w:rsid w:val="00675AD8"/>
    <w:rsid w:val="00682DA6"/>
    <w:rsid w:val="006A4EAE"/>
    <w:rsid w:val="006A5BC5"/>
    <w:rsid w:val="006B029E"/>
    <w:rsid w:val="006B236D"/>
    <w:rsid w:val="006B325E"/>
    <w:rsid w:val="006C3D84"/>
    <w:rsid w:val="006C4E9A"/>
    <w:rsid w:val="006D2854"/>
    <w:rsid w:val="006F34AE"/>
    <w:rsid w:val="007035B4"/>
    <w:rsid w:val="007049A3"/>
    <w:rsid w:val="00711B88"/>
    <w:rsid w:val="00717577"/>
    <w:rsid w:val="0073129F"/>
    <w:rsid w:val="00731E82"/>
    <w:rsid w:val="0076476E"/>
    <w:rsid w:val="00780B43"/>
    <w:rsid w:val="00782BC0"/>
    <w:rsid w:val="007964B3"/>
    <w:rsid w:val="007A375D"/>
    <w:rsid w:val="007A3FCE"/>
    <w:rsid w:val="007B0539"/>
    <w:rsid w:val="007B3EA6"/>
    <w:rsid w:val="007B539B"/>
    <w:rsid w:val="007C1F8B"/>
    <w:rsid w:val="007C3153"/>
    <w:rsid w:val="007D26B3"/>
    <w:rsid w:val="007D2C54"/>
    <w:rsid w:val="007E041A"/>
    <w:rsid w:val="007E1950"/>
    <w:rsid w:val="007E56A9"/>
    <w:rsid w:val="007E6AC7"/>
    <w:rsid w:val="007E7B16"/>
    <w:rsid w:val="008116A9"/>
    <w:rsid w:val="008216DB"/>
    <w:rsid w:val="00826622"/>
    <w:rsid w:val="008329B5"/>
    <w:rsid w:val="0084211D"/>
    <w:rsid w:val="008437DE"/>
    <w:rsid w:val="008515CD"/>
    <w:rsid w:val="00853676"/>
    <w:rsid w:val="00857C2E"/>
    <w:rsid w:val="00860AAC"/>
    <w:rsid w:val="00891C9B"/>
    <w:rsid w:val="00892A21"/>
    <w:rsid w:val="008A2DBE"/>
    <w:rsid w:val="008A6893"/>
    <w:rsid w:val="008B2082"/>
    <w:rsid w:val="008C03A0"/>
    <w:rsid w:val="008D0F36"/>
    <w:rsid w:val="008D181A"/>
    <w:rsid w:val="008D77E1"/>
    <w:rsid w:val="008E11BB"/>
    <w:rsid w:val="008E4B10"/>
    <w:rsid w:val="009061BA"/>
    <w:rsid w:val="0091369D"/>
    <w:rsid w:val="00930666"/>
    <w:rsid w:val="00935A9D"/>
    <w:rsid w:val="009444DA"/>
    <w:rsid w:val="00945F8F"/>
    <w:rsid w:val="0094795C"/>
    <w:rsid w:val="00951DB3"/>
    <w:rsid w:val="00953CC2"/>
    <w:rsid w:val="00956C63"/>
    <w:rsid w:val="00987B94"/>
    <w:rsid w:val="00995B6B"/>
    <w:rsid w:val="00996C7C"/>
    <w:rsid w:val="009A5A30"/>
    <w:rsid w:val="009A6010"/>
    <w:rsid w:val="009B51DB"/>
    <w:rsid w:val="009E45FB"/>
    <w:rsid w:val="009E4943"/>
    <w:rsid w:val="009F1726"/>
    <w:rsid w:val="009F2B3F"/>
    <w:rsid w:val="009F4752"/>
    <w:rsid w:val="00A010B1"/>
    <w:rsid w:val="00A06610"/>
    <w:rsid w:val="00A076F7"/>
    <w:rsid w:val="00A229BF"/>
    <w:rsid w:val="00A32BBF"/>
    <w:rsid w:val="00A3394D"/>
    <w:rsid w:val="00A5266D"/>
    <w:rsid w:val="00A5440A"/>
    <w:rsid w:val="00A568E0"/>
    <w:rsid w:val="00A7150C"/>
    <w:rsid w:val="00A71790"/>
    <w:rsid w:val="00A722A0"/>
    <w:rsid w:val="00A9336A"/>
    <w:rsid w:val="00A94BA3"/>
    <w:rsid w:val="00AA555C"/>
    <w:rsid w:val="00AA578C"/>
    <w:rsid w:val="00AC7083"/>
    <w:rsid w:val="00AE6A54"/>
    <w:rsid w:val="00B01C7D"/>
    <w:rsid w:val="00B10A1C"/>
    <w:rsid w:val="00B3028E"/>
    <w:rsid w:val="00B30605"/>
    <w:rsid w:val="00B336AA"/>
    <w:rsid w:val="00B4400C"/>
    <w:rsid w:val="00B72BD2"/>
    <w:rsid w:val="00B73A42"/>
    <w:rsid w:val="00B80240"/>
    <w:rsid w:val="00B8215D"/>
    <w:rsid w:val="00B9630E"/>
    <w:rsid w:val="00BA0A4A"/>
    <w:rsid w:val="00BA4AC6"/>
    <w:rsid w:val="00BA7E14"/>
    <w:rsid w:val="00BE5FFF"/>
    <w:rsid w:val="00BE67D1"/>
    <w:rsid w:val="00BF6178"/>
    <w:rsid w:val="00C00A84"/>
    <w:rsid w:val="00C0180D"/>
    <w:rsid w:val="00C038F6"/>
    <w:rsid w:val="00C23E54"/>
    <w:rsid w:val="00C27413"/>
    <w:rsid w:val="00C2765D"/>
    <w:rsid w:val="00C349DD"/>
    <w:rsid w:val="00C3670E"/>
    <w:rsid w:val="00C61FAC"/>
    <w:rsid w:val="00C64ECA"/>
    <w:rsid w:val="00C70CA4"/>
    <w:rsid w:val="00C73AC1"/>
    <w:rsid w:val="00C74C5C"/>
    <w:rsid w:val="00C772B6"/>
    <w:rsid w:val="00C77FE0"/>
    <w:rsid w:val="00C8139D"/>
    <w:rsid w:val="00C82293"/>
    <w:rsid w:val="00C978A7"/>
    <w:rsid w:val="00CA3181"/>
    <w:rsid w:val="00CA46E3"/>
    <w:rsid w:val="00CB0636"/>
    <w:rsid w:val="00CC0995"/>
    <w:rsid w:val="00CC5653"/>
    <w:rsid w:val="00CC6FCD"/>
    <w:rsid w:val="00CD0420"/>
    <w:rsid w:val="00CD1B3C"/>
    <w:rsid w:val="00D04084"/>
    <w:rsid w:val="00D04F16"/>
    <w:rsid w:val="00D05E36"/>
    <w:rsid w:val="00D0738F"/>
    <w:rsid w:val="00D1626D"/>
    <w:rsid w:val="00D32315"/>
    <w:rsid w:val="00D44DEA"/>
    <w:rsid w:val="00D45992"/>
    <w:rsid w:val="00D52EAC"/>
    <w:rsid w:val="00D8764C"/>
    <w:rsid w:val="00D9258C"/>
    <w:rsid w:val="00D95852"/>
    <w:rsid w:val="00D960E2"/>
    <w:rsid w:val="00DA73CE"/>
    <w:rsid w:val="00DB353E"/>
    <w:rsid w:val="00DC1D42"/>
    <w:rsid w:val="00DC55C2"/>
    <w:rsid w:val="00DD1D80"/>
    <w:rsid w:val="00DE0A5C"/>
    <w:rsid w:val="00DF6D39"/>
    <w:rsid w:val="00E01932"/>
    <w:rsid w:val="00E044D3"/>
    <w:rsid w:val="00E06E56"/>
    <w:rsid w:val="00E07894"/>
    <w:rsid w:val="00E269AB"/>
    <w:rsid w:val="00E36B13"/>
    <w:rsid w:val="00E40CF1"/>
    <w:rsid w:val="00E57A29"/>
    <w:rsid w:val="00E61CCA"/>
    <w:rsid w:val="00EA5C2D"/>
    <w:rsid w:val="00EB10BE"/>
    <w:rsid w:val="00EB7B26"/>
    <w:rsid w:val="00ED6B34"/>
    <w:rsid w:val="00EE1AFB"/>
    <w:rsid w:val="00EF342D"/>
    <w:rsid w:val="00EF7992"/>
    <w:rsid w:val="00F0038C"/>
    <w:rsid w:val="00F041F4"/>
    <w:rsid w:val="00F14672"/>
    <w:rsid w:val="00F14922"/>
    <w:rsid w:val="00F17FA9"/>
    <w:rsid w:val="00F21323"/>
    <w:rsid w:val="00F30783"/>
    <w:rsid w:val="00F3135F"/>
    <w:rsid w:val="00F415BF"/>
    <w:rsid w:val="00F41925"/>
    <w:rsid w:val="00F5681C"/>
    <w:rsid w:val="00F611F1"/>
    <w:rsid w:val="00F63814"/>
    <w:rsid w:val="00F66EB1"/>
    <w:rsid w:val="00F75802"/>
    <w:rsid w:val="00F811E5"/>
    <w:rsid w:val="00F82BE4"/>
    <w:rsid w:val="00F976A7"/>
    <w:rsid w:val="00FA0CB2"/>
    <w:rsid w:val="00FA1218"/>
    <w:rsid w:val="00FC5D5A"/>
    <w:rsid w:val="00FD07D0"/>
    <w:rsid w:val="00FE00FD"/>
    <w:rsid w:val="00FE287E"/>
    <w:rsid w:val="00FE6A79"/>
    <w:rsid w:val="00FE7515"/>
    <w:rsid w:val="00FF7CB1"/>
    <w:rsid w:val="01306C54"/>
    <w:rsid w:val="0165B7CC"/>
    <w:rsid w:val="01794698"/>
    <w:rsid w:val="01C93C3B"/>
    <w:rsid w:val="02D93C26"/>
    <w:rsid w:val="039A4C2E"/>
    <w:rsid w:val="0488DD44"/>
    <w:rsid w:val="048C2236"/>
    <w:rsid w:val="04D341BA"/>
    <w:rsid w:val="0513DF18"/>
    <w:rsid w:val="07A55792"/>
    <w:rsid w:val="08982D7E"/>
    <w:rsid w:val="08CB02BC"/>
    <w:rsid w:val="0A0A7272"/>
    <w:rsid w:val="0A0AF139"/>
    <w:rsid w:val="0A1662AF"/>
    <w:rsid w:val="0CF76448"/>
    <w:rsid w:val="0E1DB2E5"/>
    <w:rsid w:val="0E3F874A"/>
    <w:rsid w:val="0EC87269"/>
    <w:rsid w:val="0EE96A0A"/>
    <w:rsid w:val="0EFB5D5F"/>
    <w:rsid w:val="0F349AF0"/>
    <w:rsid w:val="105741D3"/>
    <w:rsid w:val="11BC7B39"/>
    <w:rsid w:val="12060E45"/>
    <w:rsid w:val="1223E052"/>
    <w:rsid w:val="130618F1"/>
    <w:rsid w:val="14BF9C29"/>
    <w:rsid w:val="14E71785"/>
    <w:rsid w:val="1661DA64"/>
    <w:rsid w:val="172B3D28"/>
    <w:rsid w:val="177AB0E1"/>
    <w:rsid w:val="18AB413B"/>
    <w:rsid w:val="191C0AB5"/>
    <w:rsid w:val="1B269B99"/>
    <w:rsid w:val="1C407726"/>
    <w:rsid w:val="1E02F85A"/>
    <w:rsid w:val="1E21ECB1"/>
    <w:rsid w:val="1E5821E2"/>
    <w:rsid w:val="1E7F230C"/>
    <w:rsid w:val="1E86D61E"/>
    <w:rsid w:val="1EF56304"/>
    <w:rsid w:val="2014808D"/>
    <w:rsid w:val="20A2E9BA"/>
    <w:rsid w:val="225A205D"/>
    <w:rsid w:val="23BBFB2A"/>
    <w:rsid w:val="23E94599"/>
    <w:rsid w:val="24CB4C50"/>
    <w:rsid w:val="25828D98"/>
    <w:rsid w:val="25B8F339"/>
    <w:rsid w:val="25E9DFEC"/>
    <w:rsid w:val="28255A4D"/>
    <w:rsid w:val="28A78B9D"/>
    <w:rsid w:val="299F46A5"/>
    <w:rsid w:val="2B244B27"/>
    <w:rsid w:val="2BE8D580"/>
    <w:rsid w:val="2C0CE072"/>
    <w:rsid w:val="2C41B6AB"/>
    <w:rsid w:val="2C5EBD37"/>
    <w:rsid w:val="2C94E93B"/>
    <w:rsid w:val="2E3F6D35"/>
    <w:rsid w:val="2F0D2035"/>
    <w:rsid w:val="2FE1FC11"/>
    <w:rsid w:val="304DC440"/>
    <w:rsid w:val="30B5A929"/>
    <w:rsid w:val="30CD3281"/>
    <w:rsid w:val="32C017E9"/>
    <w:rsid w:val="33C621D7"/>
    <w:rsid w:val="33FB4953"/>
    <w:rsid w:val="3402EB67"/>
    <w:rsid w:val="34AF13F9"/>
    <w:rsid w:val="377B4AD5"/>
    <w:rsid w:val="37892089"/>
    <w:rsid w:val="384C55B4"/>
    <w:rsid w:val="38F72D63"/>
    <w:rsid w:val="39DC6B01"/>
    <w:rsid w:val="3B89BF67"/>
    <w:rsid w:val="3C9D99BF"/>
    <w:rsid w:val="3CD2B300"/>
    <w:rsid w:val="3D4101FF"/>
    <w:rsid w:val="3E15FC0D"/>
    <w:rsid w:val="3E526239"/>
    <w:rsid w:val="3E987648"/>
    <w:rsid w:val="3F28CE65"/>
    <w:rsid w:val="40611E4F"/>
    <w:rsid w:val="4088A53B"/>
    <w:rsid w:val="427DC647"/>
    <w:rsid w:val="4359B9D8"/>
    <w:rsid w:val="43D8DDF2"/>
    <w:rsid w:val="44BA5A44"/>
    <w:rsid w:val="44BE087A"/>
    <w:rsid w:val="4647332E"/>
    <w:rsid w:val="46D111DF"/>
    <w:rsid w:val="47631B34"/>
    <w:rsid w:val="477C3805"/>
    <w:rsid w:val="484AE984"/>
    <w:rsid w:val="487840E1"/>
    <w:rsid w:val="48C32E0A"/>
    <w:rsid w:val="49051B02"/>
    <w:rsid w:val="4B437361"/>
    <w:rsid w:val="4B676BBB"/>
    <w:rsid w:val="4B7BFCE4"/>
    <w:rsid w:val="4C8B007B"/>
    <w:rsid w:val="4D1E57B1"/>
    <w:rsid w:val="4D397E42"/>
    <w:rsid w:val="4D444A1B"/>
    <w:rsid w:val="4D4B5F84"/>
    <w:rsid w:val="4E57CE6D"/>
    <w:rsid w:val="4F6F97CB"/>
    <w:rsid w:val="4FBED5CA"/>
    <w:rsid w:val="50247597"/>
    <w:rsid w:val="5040E0AD"/>
    <w:rsid w:val="505259BC"/>
    <w:rsid w:val="50BA8673"/>
    <w:rsid w:val="51BAE4D4"/>
    <w:rsid w:val="5208FF36"/>
    <w:rsid w:val="5366A67D"/>
    <w:rsid w:val="543B8706"/>
    <w:rsid w:val="549D2A7E"/>
    <w:rsid w:val="554443DB"/>
    <w:rsid w:val="56F8F02C"/>
    <w:rsid w:val="573FC157"/>
    <w:rsid w:val="57927445"/>
    <w:rsid w:val="582774F4"/>
    <w:rsid w:val="59A2DE57"/>
    <w:rsid w:val="5B37D0EE"/>
    <w:rsid w:val="5B6C315E"/>
    <w:rsid w:val="5ECB5C62"/>
    <w:rsid w:val="5EDD11E9"/>
    <w:rsid w:val="5FDF77E0"/>
    <w:rsid w:val="61917838"/>
    <w:rsid w:val="656C5202"/>
    <w:rsid w:val="65BEA443"/>
    <w:rsid w:val="688F2F30"/>
    <w:rsid w:val="695A6CC4"/>
    <w:rsid w:val="69C6B1A9"/>
    <w:rsid w:val="6A695619"/>
    <w:rsid w:val="6ADD81AE"/>
    <w:rsid w:val="6CBCFCA8"/>
    <w:rsid w:val="6D35B65A"/>
    <w:rsid w:val="6D701C67"/>
    <w:rsid w:val="6DD96449"/>
    <w:rsid w:val="6E20FAFE"/>
    <w:rsid w:val="6E30FA98"/>
    <w:rsid w:val="6F2F0118"/>
    <w:rsid w:val="6F5C1C82"/>
    <w:rsid w:val="6FE7D249"/>
    <w:rsid w:val="717C0C09"/>
    <w:rsid w:val="726F1D8D"/>
    <w:rsid w:val="72B602A5"/>
    <w:rsid w:val="7532D85B"/>
    <w:rsid w:val="75824CA6"/>
    <w:rsid w:val="76706664"/>
    <w:rsid w:val="784B9A19"/>
    <w:rsid w:val="787247F8"/>
    <w:rsid w:val="78844417"/>
    <w:rsid w:val="7AB93009"/>
    <w:rsid w:val="7AF291BC"/>
    <w:rsid w:val="7B32086E"/>
    <w:rsid w:val="7BA49FD7"/>
    <w:rsid w:val="7C174206"/>
    <w:rsid w:val="7E38A92D"/>
    <w:rsid w:val="7E67CF0B"/>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77118"/>
  <w15:chartTrackingRefBased/>
  <w15:docId w15:val="{231AC43E-8776-4504-8E11-B9B0C76AED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aliases w:val="Heading 1 inova"/>
    <w:basedOn w:val="Normal"/>
    <w:next w:val="Normal"/>
    <w:link w:val="Heading1Char"/>
    <w:uiPriority w:val="9"/>
    <w:qFormat/>
    <w:rsid w:val="0073129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3129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3129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3129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3129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3129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129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129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129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eading 1 inova Char"/>
    <w:basedOn w:val="DefaultParagraphFont"/>
    <w:link w:val="Heading1"/>
    <w:uiPriority w:val="9"/>
    <w:rsid w:val="0073129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3129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3129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3129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3129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312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12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12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129F"/>
    <w:rPr>
      <w:rFonts w:eastAsiaTheme="majorEastAsia" w:cstheme="majorBidi"/>
      <w:color w:val="272727" w:themeColor="text1" w:themeTint="D8"/>
    </w:rPr>
  </w:style>
  <w:style w:type="paragraph" w:styleId="Title">
    <w:name w:val="Title"/>
    <w:basedOn w:val="Normal"/>
    <w:next w:val="Normal"/>
    <w:link w:val="TitleChar"/>
    <w:uiPriority w:val="10"/>
    <w:qFormat/>
    <w:rsid w:val="007312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12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129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129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129F"/>
    <w:pPr>
      <w:spacing w:before="160"/>
      <w:jc w:val="center"/>
    </w:pPr>
    <w:rPr>
      <w:i/>
      <w:iCs/>
      <w:color w:val="404040" w:themeColor="text1" w:themeTint="BF"/>
    </w:rPr>
  </w:style>
  <w:style w:type="character" w:customStyle="1" w:styleId="QuoteChar">
    <w:name w:val="Quote Char"/>
    <w:basedOn w:val="DefaultParagraphFont"/>
    <w:link w:val="Quote"/>
    <w:uiPriority w:val="29"/>
    <w:rsid w:val="0073129F"/>
    <w:rPr>
      <w:i/>
      <w:iCs/>
      <w:color w:val="404040" w:themeColor="text1" w:themeTint="BF"/>
    </w:rPr>
  </w:style>
  <w:style w:type="paragraph" w:styleId="ListParagraph">
    <w:name w:val="List Paragraph"/>
    <w:basedOn w:val="Normal"/>
    <w:qFormat/>
    <w:rsid w:val="0073129F"/>
    <w:pPr>
      <w:ind w:left="720"/>
      <w:contextualSpacing/>
    </w:pPr>
  </w:style>
  <w:style w:type="character" w:styleId="IntenseEmphasis">
    <w:name w:val="Intense Emphasis"/>
    <w:basedOn w:val="DefaultParagraphFont"/>
    <w:uiPriority w:val="21"/>
    <w:qFormat/>
    <w:rsid w:val="0073129F"/>
    <w:rPr>
      <w:i/>
      <w:iCs/>
      <w:color w:val="0F4761" w:themeColor="accent1" w:themeShade="BF"/>
    </w:rPr>
  </w:style>
  <w:style w:type="paragraph" w:styleId="IntenseQuote">
    <w:name w:val="Intense Quote"/>
    <w:basedOn w:val="Normal"/>
    <w:next w:val="Normal"/>
    <w:link w:val="IntenseQuoteChar"/>
    <w:uiPriority w:val="30"/>
    <w:qFormat/>
    <w:rsid w:val="007312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3129F"/>
    <w:rPr>
      <w:i/>
      <w:iCs/>
      <w:color w:val="0F4761" w:themeColor="accent1" w:themeShade="BF"/>
    </w:rPr>
  </w:style>
  <w:style w:type="character" w:styleId="IntenseReference">
    <w:name w:val="Intense Reference"/>
    <w:basedOn w:val="DefaultParagraphFont"/>
    <w:uiPriority w:val="32"/>
    <w:qFormat/>
    <w:rsid w:val="0073129F"/>
    <w:rPr>
      <w:b/>
      <w:bCs/>
      <w:smallCaps/>
      <w:color w:val="0F4761" w:themeColor="accent1" w:themeShade="BF"/>
      <w:spacing w:val="5"/>
    </w:rPr>
  </w:style>
  <w:style w:type="paragraph" w:styleId="Header">
    <w:name w:val="header"/>
    <w:basedOn w:val="Normal"/>
    <w:link w:val="HeaderChar"/>
    <w:uiPriority w:val="99"/>
    <w:unhideWhenUsed/>
    <w:rsid w:val="0073129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3129F"/>
  </w:style>
  <w:style w:type="paragraph" w:styleId="Footer">
    <w:name w:val="footer"/>
    <w:aliases w:val="Portrait,FooterPort"/>
    <w:basedOn w:val="Normal"/>
    <w:link w:val="FooterChar"/>
    <w:uiPriority w:val="99"/>
    <w:unhideWhenUsed/>
    <w:rsid w:val="0073129F"/>
    <w:pPr>
      <w:tabs>
        <w:tab w:val="center" w:pos="4513"/>
        <w:tab w:val="right" w:pos="9026"/>
      </w:tabs>
      <w:spacing w:after="0" w:line="240" w:lineRule="auto"/>
    </w:pPr>
  </w:style>
  <w:style w:type="character" w:customStyle="1" w:styleId="FooterChar">
    <w:name w:val="Footer Char"/>
    <w:aliases w:val="Portrait Char,FooterPort Char"/>
    <w:basedOn w:val="DefaultParagraphFont"/>
    <w:link w:val="Footer"/>
    <w:uiPriority w:val="99"/>
    <w:rsid w:val="0073129F"/>
  </w:style>
  <w:style w:type="table" w:styleId="TableGrid">
    <w:name w:val="Table Grid"/>
    <w:basedOn w:val="TableNormal"/>
    <w:uiPriority w:val="39"/>
    <w:rsid w:val="00C0180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4548D3"/>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4548D3"/>
    <w:rPr>
      <w:rFonts w:eastAsiaTheme="minorEastAsia"/>
      <w:kern w:val="0"/>
      <w:lang w:val="en-US"/>
      <w14:ligatures w14:val="none"/>
    </w:rPr>
  </w:style>
  <w:style w:type="table" w:customStyle="1" w:styleId="TableGrid3">
    <w:name w:val="Table Grid3"/>
    <w:basedOn w:val="TableNormal"/>
    <w:next w:val="TableGrid"/>
    <w:uiPriority w:val="59"/>
    <w:rsid w:val="007B539B"/>
    <w:pPr>
      <w:spacing w:after="0" w:line="240" w:lineRule="auto"/>
    </w:pPr>
    <w:rPr>
      <w:rFonts w:ascii="Calibri" w:eastAsia="Times New Roman" w:hAnsi="Calibri" w:cs="Times New Roman"/>
      <w:kern w:val="0"/>
      <w:lang w:val="en-AU"/>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qFormat/>
    <w:rsid w:val="007B539B"/>
    <w:pPr>
      <w:spacing w:after="0" w:line="240" w:lineRule="atLeast"/>
      <w:ind w:left="432"/>
    </w:pPr>
    <w:rPr>
      <w:rFonts w:ascii="Times New Roman" w:eastAsia="Times New Roman" w:hAnsi="Times New Roman" w:cs="Times New Roman"/>
      <w:snapToGrid w:val="0"/>
      <w:color w:val="000000"/>
      <w:kern w:val="0"/>
      <w:sz w:val="24"/>
      <w:szCs w:val="20"/>
      <w:lang w:val="en-US"/>
      <w14:ligatures w14:val="none"/>
    </w:rPr>
  </w:style>
  <w:style w:type="character" w:customStyle="1" w:styleId="BodyTextChar">
    <w:name w:val="Body Text Char"/>
    <w:basedOn w:val="DefaultParagraphFont"/>
    <w:link w:val="BodyText"/>
    <w:rsid w:val="007B539B"/>
    <w:rPr>
      <w:rFonts w:ascii="Times New Roman" w:eastAsia="Times New Roman" w:hAnsi="Times New Roman" w:cs="Times New Roman"/>
      <w:snapToGrid w:val="0"/>
      <w:color w:val="000000"/>
      <w:kern w:val="0"/>
      <w:sz w:val="24"/>
      <w:szCs w:val="20"/>
      <w:lang w:val="en-US"/>
      <w14:ligatures w14:val="none"/>
    </w:rPr>
  </w:style>
  <w:style w:type="paragraph" w:customStyle="1" w:styleId="paragraph">
    <w:name w:val="paragraph"/>
    <w:basedOn w:val="Normal"/>
    <w:rsid w:val="00A229BF"/>
    <w:pPr>
      <w:spacing w:before="100" w:beforeAutospacing="1" w:after="100" w:afterAutospacing="1" w:line="240" w:lineRule="auto"/>
    </w:pPr>
    <w:rPr>
      <w:rFonts w:ascii="Times New Roman" w:eastAsia="Times New Roman" w:hAnsi="Times New Roman" w:cs="Times New Roman"/>
      <w:kern w:val="0"/>
      <w:sz w:val="24"/>
      <w:szCs w:val="24"/>
      <w:lang w:val="en-AU" w:eastAsia="en-AU"/>
      <w14:ligatures w14:val="none"/>
    </w:rPr>
  </w:style>
  <w:style w:type="character" w:customStyle="1" w:styleId="normaltextrun">
    <w:name w:val="normaltextrun"/>
    <w:basedOn w:val="DefaultParagraphFont"/>
    <w:rsid w:val="00A229BF"/>
  </w:style>
  <w:style w:type="character" w:customStyle="1" w:styleId="eop">
    <w:name w:val="eop"/>
    <w:basedOn w:val="DefaultParagraphFont"/>
    <w:rsid w:val="00A229BF"/>
  </w:style>
  <w:style w:type="character" w:styleId="CommentReference">
    <w:name w:val="annotation reference"/>
    <w:basedOn w:val="DefaultParagraphFont"/>
    <w:uiPriority w:val="99"/>
    <w:semiHidden/>
    <w:unhideWhenUsed/>
    <w:rsid w:val="007E7B16"/>
    <w:rPr>
      <w:sz w:val="16"/>
      <w:szCs w:val="16"/>
    </w:rPr>
  </w:style>
  <w:style w:type="paragraph" w:styleId="CommentText">
    <w:name w:val="annotation text"/>
    <w:basedOn w:val="Normal"/>
    <w:link w:val="CommentTextChar"/>
    <w:uiPriority w:val="99"/>
    <w:unhideWhenUsed/>
    <w:rsid w:val="007E7B16"/>
    <w:pPr>
      <w:spacing w:line="240" w:lineRule="auto"/>
    </w:pPr>
    <w:rPr>
      <w:sz w:val="20"/>
      <w:szCs w:val="20"/>
    </w:rPr>
  </w:style>
  <w:style w:type="character" w:customStyle="1" w:styleId="CommentTextChar">
    <w:name w:val="Comment Text Char"/>
    <w:basedOn w:val="DefaultParagraphFont"/>
    <w:link w:val="CommentText"/>
    <w:uiPriority w:val="99"/>
    <w:rsid w:val="007E7B16"/>
    <w:rPr>
      <w:sz w:val="20"/>
      <w:szCs w:val="20"/>
    </w:rPr>
  </w:style>
  <w:style w:type="paragraph" w:styleId="CommentSubject">
    <w:name w:val="annotation subject"/>
    <w:basedOn w:val="CommentText"/>
    <w:next w:val="CommentText"/>
    <w:link w:val="CommentSubjectChar"/>
    <w:uiPriority w:val="99"/>
    <w:semiHidden/>
    <w:unhideWhenUsed/>
    <w:rsid w:val="007E7B16"/>
    <w:rPr>
      <w:b/>
      <w:bCs/>
    </w:rPr>
  </w:style>
  <w:style w:type="character" w:customStyle="1" w:styleId="CommentSubjectChar">
    <w:name w:val="Comment Subject Char"/>
    <w:basedOn w:val="CommentTextChar"/>
    <w:link w:val="CommentSubject"/>
    <w:uiPriority w:val="99"/>
    <w:semiHidden/>
    <w:rsid w:val="007E7B1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66544">
      <w:bodyDiv w:val="1"/>
      <w:marLeft w:val="0"/>
      <w:marRight w:val="0"/>
      <w:marTop w:val="0"/>
      <w:marBottom w:val="0"/>
      <w:divBdr>
        <w:top w:val="none" w:sz="0" w:space="0" w:color="auto"/>
        <w:left w:val="none" w:sz="0" w:space="0" w:color="auto"/>
        <w:bottom w:val="none" w:sz="0" w:space="0" w:color="auto"/>
        <w:right w:val="none" w:sz="0" w:space="0" w:color="auto"/>
      </w:divBdr>
    </w:div>
    <w:div w:id="116217699">
      <w:bodyDiv w:val="1"/>
      <w:marLeft w:val="0"/>
      <w:marRight w:val="0"/>
      <w:marTop w:val="0"/>
      <w:marBottom w:val="0"/>
      <w:divBdr>
        <w:top w:val="none" w:sz="0" w:space="0" w:color="auto"/>
        <w:left w:val="none" w:sz="0" w:space="0" w:color="auto"/>
        <w:bottom w:val="none" w:sz="0" w:space="0" w:color="auto"/>
        <w:right w:val="none" w:sz="0" w:space="0" w:color="auto"/>
      </w:divBdr>
    </w:div>
    <w:div w:id="174422208">
      <w:bodyDiv w:val="1"/>
      <w:marLeft w:val="0"/>
      <w:marRight w:val="0"/>
      <w:marTop w:val="0"/>
      <w:marBottom w:val="0"/>
      <w:divBdr>
        <w:top w:val="none" w:sz="0" w:space="0" w:color="auto"/>
        <w:left w:val="none" w:sz="0" w:space="0" w:color="auto"/>
        <w:bottom w:val="none" w:sz="0" w:space="0" w:color="auto"/>
        <w:right w:val="none" w:sz="0" w:space="0" w:color="auto"/>
      </w:divBdr>
    </w:div>
    <w:div w:id="412288450">
      <w:bodyDiv w:val="1"/>
      <w:marLeft w:val="0"/>
      <w:marRight w:val="0"/>
      <w:marTop w:val="0"/>
      <w:marBottom w:val="0"/>
      <w:divBdr>
        <w:top w:val="none" w:sz="0" w:space="0" w:color="auto"/>
        <w:left w:val="none" w:sz="0" w:space="0" w:color="auto"/>
        <w:bottom w:val="none" w:sz="0" w:space="0" w:color="auto"/>
        <w:right w:val="none" w:sz="0" w:space="0" w:color="auto"/>
      </w:divBdr>
    </w:div>
    <w:div w:id="501746752">
      <w:bodyDiv w:val="1"/>
      <w:marLeft w:val="0"/>
      <w:marRight w:val="0"/>
      <w:marTop w:val="0"/>
      <w:marBottom w:val="0"/>
      <w:divBdr>
        <w:top w:val="none" w:sz="0" w:space="0" w:color="auto"/>
        <w:left w:val="none" w:sz="0" w:space="0" w:color="auto"/>
        <w:bottom w:val="none" w:sz="0" w:space="0" w:color="auto"/>
        <w:right w:val="none" w:sz="0" w:space="0" w:color="auto"/>
      </w:divBdr>
    </w:div>
    <w:div w:id="534587229">
      <w:bodyDiv w:val="1"/>
      <w:marLeft w:val="0"/>
      <w:marRight w:val="0"/>
      <w:marTop w:val="0"/>
      <w:marBottom w:val="0"/>
      <w:divBdr>
        <w:top w:val="none" w:sz="0" w:space="0" w:color="auto"/>
        <w:left w:val="none" w:sz="0" w:space="0" w:color="auto"/>
        <w:bottom w:val="none" w:sz="0" w:space="0" w:color="auto"/>
        <w:right w:val="none" w:sz="0" w:space="0" w:color="auto"/>
      </w:divBdr>
    </w:div>
    <w:div w:id="586034831">
      <w:bodyDiv w:val="1"/>
      <w:marLeft w:val="0"/>
      <w:marRight w:val="0"/>
      <w:marTop w:val="0"/>
      <w:marBottom w:val="0"/>
      <w:divBdr>
        <w:top w:val="none" w:sz="0" w:space="0" w:color="auto"/>
        <w:left w:val="none" w:sz="0" w:space="0" w:color="auto"/>
        <w:bottom w:val="none" w:sz="0" w:space="0" w:color="auto"/>
        <w:right w:val="none" w:sz="0" w:space="0" w:color="auto"/>
      </w:divBdr>
    </w:div>
    <w:div w:id="664820992">
      <w:bodyDiv w:val="1"/>
      <w:marLeft w:val="0"/>
      <w:marRight w:val="0"/>
      <w:marTop w:val="0"/>
      <w:marBottom w:val="0"/>
      <w:divBdr>
        <w:top w:val="none" w:sz="0" w:space="0" w:color="auto"/>
        <w:left w:val="none" w:sz="0" w:space="0" w:color="auto"/>
        <w:bottom w:val="none" w:sz="0" w:space="0" w:color="auto"/>
        <w:right w:val="none" w:sz="0" w:space="0" w:color="auto"/>
      </w:divBdr>
    </w:div>
    <w:div w:id="821851282">
      <w:bodyDiv w:val="1"/>
      <w:marLeft w:val="0"/>
      <w:marRight w:val="0"/>
      <w:marTop w:val="0"/>
      <w:marBottom w:val="0"/>
      <w:divBdr>
        <w:top w:val="none" w:sz="0" w:space="0" w:color="auto"/>
        <w:left w:val="none" w:sz="0" w:space="0" w:color="auto"/>
        <w:bottom w:val="none" w:sz="0" w:space="0" w:color="auto"/>
        <w:right w:val="none" w:sz="0" w:space="0" w:color="auto"/>
      </w:divBdr>
    </w:div>
    <w:div w:id="850535059">
      <w:bodyDiv w:val="1"/>
      <w:marLeft w:val="0"/>
      <w:marRight w:val="0"/>
      <w:marTop w:val="0"/>
      <w:marBottom w:val="0"/>
      <w:divBdr>
        <w:top w:val="none" w:sz="0" w:space="0" w:color="auto"/>
        <w:left w:val="none" w:sz="0" w:space="0" w:color="auto"/>
        <w:bottom w:val="none" w:sz="0" w:space="0" w:color="auto"/>
        <w:right w:val="none" w:sz="0" w:space="0" w:color="auto"/>
      </w:divBdr>
    </w:div>
    <w:div w:id="854538720">
      <w:bodyDiv w:val="1"/>
      <w:marLeft w:val="0"/>
      <w:marRight w:val="0"/>
      <w:marTop w:val="0"/>
      <w:marBottom w:val="0"/>
      <w:divBdr>
        <w:top w:val="none" w:sz="0" w:space="0" w:color="auto"/>
        <w:left w:val="none" w:sz="0" w:space="0" w:color="auto"/>
        <w:bottom w:val="none" w:sz="0" w:space="0" w:color="auto"/>
        <w:right w:val="none" w:sz="0" w:space="0" w:color="auto"/>
      </w:divBdr>
    </w:div>
    <w:div w:id="996490953">
      <w:bodyDiv w:val="1"/>
      <w:marLeft w:val="0"/>
      <w:marRight w:val="0"/>
      <w:marTop w:val="0"/>
      <w:marBottom w:val="0"/>
      <w:divBdr>
        <w:top w:val="none" w:sz="0" w:space="0" w:color="auto"/>
        <w:left w:val="none" w:sz="0" w:space="0" w:color="auto"/>
        <w:bottom w:val="none" w:sz="0" w:space="0" w:color="auto"/>
        <w:right w:val="none" w:sz="0" w:space="0" w:color="auto"/>
      </w:divBdr>
    </w:div>
    <w:div w:id="1104497179">
      <w:bodyDiv w:val="1"/>
      <w:marLeft w:val="0"/>
      <w:marRight w:val="0"/>
      <w:marTop w:val="0"/>
      <w:marBottom w:val="0"/>
      <w:divBdr>
        <w:top w:val="none" w:sz="0" w:space="0" w:color="auto"/>
        <w:left w:val="none" w:sz="0" w:space="0" w:color="auto"/>
        <w:bottom w:val="none" w:sz="0" w:space="0" w:color="auto"/>
        <w:right w:val="none" w:sz="0" w:space="0" w:color="auto"/>
      </w:divBdr>
    </w:div>
    <w:div w:id="1284536855">
      <w:bodyDiv w:val="1"/>
      <w:marLeft w:val="0"/>
      <w:marRight w:val="0"/>
      <w:marTop w:val="0"/>
      <w:marBottom w:val="0"/>
      <w:divBdr>
        <w:top w:val="none" w:sz="0" w:space="0" w:color="auto"/>
        <w:left w:val="none" w:sz="0" w:space="0" w:color="auto"/>
        <w:bottom w:val="none" w:sz="0" w:space="0" w:color="auto"/>
        <w:right w:val="none" w:sz="0" w:space="0" w:color="auto"/>
      </w:divBdr>
    </w:div>
    <w:div w:id="1294991741">
      <w:bodyDiv w:val="1"/>
      <w:marLeft w:val="0"/>
      <w:marRight w:val="0"/>
      <w:marTop w:val="0"/>
      <w:marBottom w:val="0"/>
      <w:divBdr>
        <w:top w:val="none" w:sz="0" w:space="0" w:color="auto"/>
        <w:left w:val="none" w:sz="0" w:space="0" w:color="auto"/>
        <w:bottom w:val="none" w:sz="0" w:space="0" w:color="auto"/>
        <w:right w:val="none" w:sz="0" w:space="0" w:color="auto"/>
      </w:divBdr>
    </w:div>
    <w:div w:id="1505626059">
      <w:bodyDiv w:val="1"/>
      <w:marLeft w:val="0"/>
      <w:marRight w:val="0"/>
      <w:marTop w:val="0"/>
      <w:marBottom w:val="0"/>
      <w:divBdr>
        <w:top w:val="none" w:sz="0" w:space="0" w:color="auto"/>
        <w:left w:val="none" w:sz="0" w:space="0" w:color="auto"/>
        <w:bottom w:val="none" w:sz="0" w:space="0" w:color="auto"/>
        <w:right w:val="none" w:sz="0" w:space="0" w:color="auto"/>
      </w:divBdr>
    </w:div>
    <w:div w:id="1828397117">
      <w:bodyDiv w:val="1"/>
      <w:marLeft w:val="0"/>
      <w:marRight w:val="0"/>
      <w:marTop w:val="0"/>
      <w:marBottom w:val="0"/>
      <w:divBdr>
        <w:top w:val="none" w:sz="0" w:space="0" w:color="auto"/>
        <w:left w:val="none" w:sz="0" w:space="0" w:color="auto"/>
        <w:bottom w:val="none" w:sz="0" w:space="0" w:color="auto"/>
        <w:right w:val="none" w:sz="0" w:space="0" w:color="auto"/>
      </w:divBdr>
    </w:div>
    <w:div w:id="1905752868">
      <w:marLeft w:val="0"/>
      <w:marRight w:val="0"/>
      <w:marTop w:val="0"/>
      <w:marBottom w:val="0"/>
      <w:divBdr>
        <w:top w:val="none" w:sz="0" w:space="0" w:color="auto"/>
        <w:left w:val="none" w:sz="0" w:space="0" w:color="auto"/>
        <w:bottom w:val="none" w:sz="0" w:space="0" w:color="auto"/>
        <w:right w:val="none" w:sz="0" w:space="0" w:color="auto"/>
      </w:divBdr>
    </w:div>
    <w:div w:id="1909338892">
      <w:bodyDiv w:val="1"/>
      <w:marLeft w:val="0"/>
      <w:marRight w:val="0"/>
      <w:marTop w:val="0"/>
      <w:marBottom w:val="0"/>
      <w:divBdr>
        <w:top w:val="none" w:sz="0" w:space="0" w:color="auto"/>
        <w:left w:val="none" w:sz="0" w:space="0" w:color="auto"/>
        <w:bottom w:val="none" w:sz="0" w:space="0" w:color="auto"/>
        <w:right w:val="none" w:sz="0" w:space="0" w:color="auto"/>
      </w:divBdr>
    </w:div>
    <w:div w:id="20568118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jpeg"/><Relationship Id="rId26" Type="http://schemas.openxmlformats.org/officeDocument/2006/relationships/image" Target="media/image17.png"/><Relationship Id="rId3" Type="http://schemas.openxmlformats.org/officeDocument/2006/relationships/customXml" Target="../customXml/item3.xml"/><Relationship Id="rId21" Type="http://schemas.openxmlformats.org/officeDocument/2006/relationships/image" Target="media/image12.jpeg"/><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jpeg"/><Relationship Id="rId25" Type="http://schemas.openxmlformats.org/officeDocument/2006/relationships/image" Target="media/image16.png"/><Relationship Id="rId2" Type="http://schemas.openxmlformats.org/officeDocument/2006/relationships/customXml" Target="../customXml/item2.xml"/><Relationship Id="rId16" Type="http://schemas.openxmlformats.org/officeDocument/2006/relationships/image" Target="media/image7.jpeg"/><Relationship Id="rId20" Type="http://schemas.openxmlformats.org/officeDocument/2006/relationships/image" Target="media/image11.jpe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styles" Target="styles.xml"/><Relationship Id="rId15" Type="http://schemas.openxmlformats.org/officeDocument/2006/relationships/image" Target="media/image6.jpeg"/><Relationship Id="rId23" Type="http://schemas.openxmlformats.org/officeDocument/2006/relationships/image" Target="media/image14.jpeg"/><Relationship Id="rId28" Type="http://schemas.openxmlformats.org/officeDocument/2006/relationships/footer" Target="footer1.xml"/><Relationship Id="rId10" Type="http://schemas.openxmlformats.org/officeDocument/2006/relationships/image" Target="media/image1.png"/><Relationship Id="rId19" Type="http://schemas.openxmlformats.org/officeDocument/2006/relationships/image" Target="media/image10.jpe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image" Target="media/image13.jpeg"/><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3" Type="http://schemas.openxmlformats.org/officeDocument/2006/relationships/image" Target="media/image19.png"/><Relationship Id="rId2" Type="http://schemas.openxmlformats.org/officeDocument/2006/relationships/image" Target="media/image18.png"/><Relationship Id="rId1" Type="http://schemas.openxmlformats.org/officeDocument/2006/relationships/image" Target="media/image1.png"/><Relationship Id="rId6" Type="http://schemas.openxmlformats.org/officeDocument/2006/relationships/image" Target="media/image22.png"/><Relationship Id="rId5" Type="http://schemas.openxmlformats.org/officeDocument/2006/relationships/image" Target="media/image21.png"/><Relationship Id="rId4"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4c26ce64-f33d-40a2-bede-31a7360585bd" xsi:nil="true"/>
    <lcf76f155ced4ddcb4097134ff3c332f xmlns="385ba199-bd2a-40d6-a5e1-5425d6bd50d3">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9E2BB112AC3E1F468CA2E79034BA3331" ma:contentTypeVersion="12" ma:contentTypeDescription="Create a new document." ma:contentTypeScope="" ma:versionID="fcbe47f9b63af01b59482de3c3b568a1">
  <xsd:schema xmlns:xsd="http://www.w3.org/2001/XMLSchema" xmlns:xs="http://www.w3.org/2001/XMLSchema" xmlns:p="http://schemas.microsoft.com/office/2006/metadata/properties" xmlns:ns2="385ba199-bd2a-40d6-a5e1-5425d6bd50d3" xmlns:ns3="4c26ce64-f33d-40a2-bede-31a7360585bd" targetNamespace="http://schemas.microsoft.com/office/2006/metadata/properties" ma:root="true" ma:fieldsID="29562e68429b70fc174da0d903644db5" ns2:_="" ns3:_="">
    <xsd:import namespace="385ba199-bd2a-40d6-a5e1-5425d6bd50d3"/>
    <xsd:import namespace="4c26ce64-f33d-40a2-bede-31a7360585b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85ba199-bd2a-40d6-a5e1-5425d6bd50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lcf76f155ced4ddcb4097134ff3c332f" ma:index="12" nillable="true" ma:taxonomy="true" ma:internalName="lcf76f155ced4ddcb4097134ff3c332f" ma:taxonomyFieldName="MediaServiceImageTags" ma:displayName="Image Tags" ma:readOnly="false" ma:fieldId="{5cf76f15-5ced-4ddc-b409-7134ff3c332f}" ma:taxonomyMulti="true" ma:sspId="f99fb4dc-a393-49ae-ab2a-6ba9af3f6ff3"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c26ce64-f33d-40a2-bede-31a7360585bd"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33716e5a-c224-4578-b739-f1370019e64d}" ma:internalName="TaxCatchAll" ma:showField="CatchAllData" ma:web="4c26ce64-f33d-40a2-bede-31a7360585b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74AC9DB-18C7-4692-8DA9-731FAB0AD532}">
  <ds:schemaRefs>
    <ds:schemaRef ds:uri="http://schemas.microsoft.com/office/2006/metadata/properties"/>
    <ds:schemaRef ds:uri="http://schemas.microsoft.com/office/infopath/2007/PartnerControls"/>
    <ds:schemaRef ds:uri="4c26ce64-f33d-40a2-bede-31a7360585bd"/>
    <ds:schemaRef ds:uri="385ba199-bd2a-40d6-a5e1-5425d6bd50d3"/>
  </ds:schemaRefs>
</ds:datastoreItem>
</file>

<file path=customXml/itemProps2.xml><?xml version="1.0" encoding="utf-8"?>
<ds:datastoreItem xmlns:ds="http://schemas.openxmlformats.org/officeDocument/2006/customXml" ds:itemID="{ED32F293-98A5-49E4-A6CD-5DFE82AF454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85ba199-bd2a-40d6-a5e1-5425d6bd50d3"/>
    <ds:schemaRef ds:uri="4c26ce64-f33d-40a2-bede-31a7360585b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AF7284E-01E3-480F-AE32-5EAF02DB3BB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6</Pages>
  <Words>1264</Words>
  <Characters>7210</Characters>
  <Application>Microsoft Office Word</Application>
  <DocSecurity>0</DocSecurity>
  <Lines>60</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SWI-PRO-MET-203-006 - Adsorption Profile Survey - Metal and Cyanide Resin Circuits</dc:title>
  <dc:subject/>
  <dc:creator>Monique Balderson</dc:creator>
  <cp:keywords/>
  <dc:description/>
  <cp:lastModifiedBy>Hilman Hidayat</cp:lastModifiedBy>
  <cp:revision>2</cp:revision>
  <cp:lastPrinted>2025-08-08T14:45:00Z</cp:lastPrinted>
  <dcterms:created xsi:type="dcterms:W3CDTF">2026-10-02T09:03:00Z</dcterms:created>
  <dcterms:modified xsi:type="dcterms:W3CDTF">2026-10-02T09:03:00Z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0x0101009E2BB112AC3E1F468CA2E79034BA3331</vt:lpwstr>
  </property>
  <property fmtid="{D5CDD505-2E9C-101B-9397-08002B2CF9AE}" pid="3" name="MediaServiceImageTags">
    <vt:lpwstr/>
  </property>
</Properties>
</file>