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Adsorption Capacity and Kinetics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The test method has been added from the Martabe work instruction 'Resin activity test' (03/03/2025). Acceptance targets for GG1200M and GG1200C still need vendor data - see the folder README. The source covers adsorption kinetics only; loading capacity is not covered by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loading capacity and adsorption rate of the GG1200M and GG1200C resins.</w:t>
      </w:r>
    </w:p>
    <w:p>
      <w:pPr>
        <w:spacing w:after="60" w:before="0" w:line="245"/>
      </w:pPr>
      <w:r>
        <w:rPr>
          <w:rFonts w:ascii="Calibri" w:cs="Calibri" w:eastAsia="Calibri" w:hAnsi="Calibri"/>
          <w:sz w:val="17"/>
          <w:szCs w:val="17"/>
        </w:rPr>
        <w:t xml:space="preserve">Resin capacity is the design basis of the whole ReCYN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SWI-PRO-MET-205-012 in HM-MMM-WHS-REG-XXX-R00-SWI-SWMS, tab SWI-MET. The matching hazard analysis is JSEA-PRO-MET-205-012.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and caustic; copper-cyanide solution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Copper-cyanide waste to the cyanide-bearing stream only.</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 0.9 mm</w:t>
      </w:r>
    </w:p>
    <w:p>
      <w:pPr>
        <w:pStyle w:val="ListParagraph"/>
        <w:numPr>
          <w:ilvl w:val="0"/>
          <w:numId w:val="1"/>
        </w:numPr>
        <w:spacing w:after="60" w:line="245"/>
      </w:pPr>
      <w:r>
        <w:rPr>
          <w:rFonts w:ascii="Calibri" w:cs="Calibri" w:eastAsia="Calibri" w:hAnsi="Calibri"/>
          <w:sz w:val="17"/>
          <w:szCs w:val="17"/>
        </w:rPr>
        <w:t xml:space="preserve">Solutions at known metal and cyanide concentration</w:t>
      </w:r>
    </w:p>
    <w:p>
      <w:pPr>
        <w:pStyle w:val="ListParagraph"/>
        <w:numPr>
          <w:ilvl w:val="0"/>
          <w:numId w:val="1"/>
        </w:numPr>
        <w:spacing w:after="60" w:line="245"/>
      </w:pPr>
      <w:r>
        <w:rPr>
          <w:rFonts w:ascii="Calibri" w:cs="Calibri" w:eastAsia="Calibri" w:hAnsi="Calibri"/>
          <w:sz w:val="17"/>
          <w:szCs w:val="17"/>
        </w:rPr>
        <w:t xml:space="preserve">[M] Agitator with blade, baffle tank (1 L working volume)</w:t>
      </w:r>
    </w:p>
    <w:p>
      <w:pPr>
        <w:pStyle w:val="ListParagraph"/>
        <w:numPr>
          <w:ilvl w:val="0"/>
          <w:numId w:val="1"/>
        </w:numPr>
        <w:spacing w:after="60" w:line="245"/>
      </w:pPr>
      <w:r>
        <w:rPr>
          <w:rFonts w:ascii="Calibri" w:cs="Calibri" w:eastAsia="Calibri" w:hAnsi="Calibri"/>
          <w:sz w:val="17"/>
          <w:szCs w:val="17"/>
        </w:rPr>
        <w:t xml:space="preserve">[M] Wet-sizing screens 1.18 mm and 1.4 mm [CONFIRM] against the 0.9 mm screen listed above</w:t>
      </w:r>
    </w:p>
    <w:p>
      <w:pPr>
        <w:pStyle w:val="ListParagraph"/>
        <w:numPr>
          <w:ilvl w:val="0"/>
          <w:numId w:val="1"/>
        </w:numPr>
        <w:spacing w:after="60" w:line="245"/>
      </w:pPr>
      <w:r>
        <w:rPr>
          <w:rFonts w:ascii="Calibri" w:cs="Calibri" w:eastAsia="Calibri" w:hAnsi="Calibri"/>
          <w:sz w:val="17"/>
          <w:szCs w:val="17"/>
        </w:rPr>
        <w:t xml:space="preserve">[M] Balance, 250 mL sample bottles, filter paper, funnel, tea strainer, syringe, stopwatch, pH meter</w:t>
      </w:r>
    </w:p>
    <w:p>
      <w:pPr>
        <w:pStyle w:val="ListParagraph"/>
        <w:numPr>
          <w:ilvl w:val="0"/>
          <w:numId w:val="1"/>
        </w:numPr>
        <w:spacing w:after="60" w:line="245"/>
      </w:pPr>
      <w:r>
        <w:rPr>
          <w:rFonts w:ascii="Calibri" w:cs="Calibri" w:eastAsia="Calibri" w:hAnsi="Calibri"/>
          <w:sz w:val="17"/>
          <w:szCs w:val="17"/>
        </w:rPr>
        <w:t xml:space="preserve">[M] NaCN, CuSO4.5H2O, NaOH (caustic), distilled water, fresh resin, loaded resin sample, Cu-eluted resin sample</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"Resin activity test (file name 'Work_Instruction_Ball_Mill_Cyclone_Profile')" (03/03/2025).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adsorption kinetics of each resin sample (loaded and Cu-eluted) against fresh resin. [CONFIRM] the Martabe file name refers to a ball mill cyclone profile but the content is this resin activity test.</w:t>
      </w:r>
    </w:p>
    <w:p>
      <w:pPr>
        <w:spacing w:after="60" w:before="0" w:line="245"/>
      </w:pPr>
      <w:r>
        <w:rPr>
          <w:rFonts w:ascii="Calibri" w:cs="Calibri" w:eastAsia="Calibri" w:hAnsi="Calibri"/>
          <w:b/>
          <w:sz w:val="17"/>
          <w:szCs w:val="17"/>
        </w:rPr>
        <w:t xml:space="preserve">Resin sizing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Pan the sample to separate carbon from resin.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Stack the 1.18 mm and 1.4 mm screens.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Wet-size the sample.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Keep the resin that passes the 1.4 mm screen and is retained on the 1.18 mm screen. [CONFIRM] against the 0.9 mm screen in the equipment list.</w:t>
      </w:r>
    </w:p>
    <w:p>
      <w:pPr>
        <w:spacing w:after="60" w:before="0" w:line="245"/>
      </w:pPr>
      <w:r>
        <w:rPr>
          <w:rFonts w:ascii="Calibri" w:cs="Calibri" w:eastAsia="Calibri" w:hAnsi="Calibri"/>
          <w:b/>
          <w:sz w:val="17"/>
          <w:szCs w:val="17"/>
        </w:rPr>
        <w:t xml:space="preserve">Solution preparation [M]</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Check per cent solids. [CONFIRM] the sample this applies to is not stated in the source.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Weigh 2 g NaCN.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Measure 5 mL CuSO4.5H2O solution. [CONFIRM] solution strength is not stated.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Put 5 L distilled water in the container and add the 5 mL copper sulphate.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Hold the pH at 10 to 10.5 with caustic. [CONFIRM] this range reaches below 10.5; site rule in SWI-PRO-MET-205-007 is NEVER add cyanide below pH 10.5. Hold pH at 10.5 or above before the cyanide is added unless an approved deviation exists.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Add the weighed NaCN and agitate until fully dissolved.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a 20 mL head sample. Titrate for NaCN and submit to ITS for Cu assay.</w:t>
      </w:r>
    </w:p>
    <w:p>
      <w:pPr>
        <w:spacing w:after="60" w:before="0" w:line="245"/>
      </w:pPr>
      <w:r>
        <w:rPr>
          <w:rFonts w:ascii="Calibri" w:cs="Calibri" w:eastAsia="Calibri" w:hAnsi="Calibri"/>
          <w:b/>
          <w:sz w:val="17"/>
          <w:szCs w:val="17"/>
        </w:rPr>
        <w:t xml:space="preserve">Adsorption test [M]</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Put 1 L of the prepared solution in the baffle tank.</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Add 5 g of resin sample.</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At minute 5, 10, 15, 20 and 30 stop the agitator, take a solution sample of 30 mL, separate the resin from the solution and return the resin to the tank. [CONFIRM] the source text says 30 mL but the record table shows 20 mL per sample (1000 mL falling to 880 mL).</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Titrate each sample for cyanide.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Send the remaining sample to ITS for Cu assay.</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Run fresh resin as the reference, then the loaded and Cu-eluted samples. Record on 'G:\Processing\5. Metallurgy\Metallurgy Lab\04 Metlab Data\Resin\5. Copper Loading Activity Test.xlsx' (columns: time, initial, sample and final volume, solution pH, NaCN mg/L).</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SOP-PROC-CNREC-01 and -12, received 11 Aug 2026 - operating loading and conditioning practice</w:t>
      </w:r>
    </w:p>
    <w:p>
      <w:pPr>
        <w:pStyle w:val="ListParagraph"/>
        <w:numPr>
          <w:ilvl w:val="0"/>
          <w:numId w:val="1"/>
        </w:numPr>
        <w:spacing w:after="60" w:line="245"/>
      </w:pPr>
      <w:r>
        <w:rPr>
          <w:rFonts w:ascii="Calibri" w:cs="Calibri" w:eastAsia="Calibri" w:hAnsi="Calibri"/>
          <w:sz w:val="17"/>
          <w:szCs w:val="17"/>
        </w:rPr>
        <w:t xml:space="preserve">No Goldquip resin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'Resin activity test' (Indonesian, 03/03/2025, file name 'Work_Instruction_Ball_Mill_Cyclone_Profile') - method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SWI-PRO-MET-205-012  ·  Resin Adsorption Capacity and Kinetics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