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Elution Efficiency and Barren Resin Loading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The copper elution test method has been added from the Martabe work instruction 'Testing NaCl from New Vendor' (11/01/2025), which compares NaCl sources. Goldquip resin elution performance data is still not held - see the folder README. The source does not cover barren resin loading.</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how completely the elution circuit strips the resin, at the bench.</w:t>
      </w:r>
    </w:p>
    <w:p>
      <w:pPr>
        <w:spacing w:after="60" w:before="0" w:line="245"/>
      </w:pPr>
      <w:r>
        <w:rPr>
          <w:rFonts w:ascii="Calibri" w:cs="Calibri" w:eastAsia="Calibri" w:hAnsi="Calibri"/>
          <w:sz w:val="17"/>
          <w:szCs w:val="17"/>
        </w:rPr>
        <w:t xml:space="preserve">Barren resin loading is to the resin circuit what barren carbon is to the CIL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SWI-PRO-MET-205-013 in HM-MMM-WHS-REG-XXX-R00-SWI-SWMS, tab SWI-MET. The matching hazard analysis is JSEA-PRO-MET-205-013.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for a concentrated eluant, and cyanide-bearing eluate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Eluate and rinse to the cyanide-bearing stream only - no general drain.</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Bench elution column</w:t>
      </w:r>
    </w:p>
    <w:p>
      <w:pPr>
        <w:pStyle w:val="ListParagraph"/>
        <w:numPr>
          <w:ilvl w:val="0"/>
          <w:numId w:val="1"/>
        </w:numPr>
        <w:spacing w:after="60" w:line="245"/>
      </w:pPr>
      <w:r>
        <w:rPr>
          <w:rFonts w:ascii="Calibri" w:cs="Calibri" w:eastAsia="Calibri" w:hAnsi="Calibri"/>
          <w:sz w:val="17"/>
          <w:szCs w:val="17"/>
        </w:rPr>
        <w:t xml:space="preserve">Eluant solutions</w:t>
      </w:r>
    </w:p>
    <w:p>
      <w:pPr>
        <w:pStyle w:val="ListParagraph"/>
        <w:numPr>
          <w:ilvl w:val="0"/>
          <w:numId w:val="1"/>
        </w:numPr>
        <w:spacing w:after="60" w:line="245"/>
      </w:pPr>
      <w:r>
        <w:rPr>
          <w:rFonts w:ascii="Calibri" w:cs="Calibri" w:eastAsia="Calibri" w:hAnsi="Calibri"/>
          <w:sz w:val="17"/>
          <w:szCs w:val="17"/>
        </w:rPr>
        <w:t xml:space="preserve">Heating</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w:t>
      </w:r>
    </w:p>
    <w:p>
      <w:pPr>
        <w:pStyle w:val="ListParagraph"/>
        <w:numPr>
          <w:ilvl w:val="0"/>
          <w:numId w:val="1"/>
        </w:numPr>
        <w:spacing w:after="60" w:line="245"/>
      </w:pPr>
      <w:r>
        <w:rPr>
          <w:rFonts w:ascii="Calibri" w:cs="Calibri" w:eastAsia="Calibri" w:hAnsi="Calibri"/>
          <w:sz w:val="17"/>
          <w:szCs w:val="17"/>
        </w:rPr>
        <w:t xml:space="preserve">[M] Balance, sample bottles, beakers (glass), filter paper, agitator with blade or magnetic stirrer, stopwatch</w:t>
      </w:r>
    </w:p>
    <w:p>
      <w:pPr>
        <w:pStyle w:val="ListParagraph"/>
        <w:numPr>
          <w:ilvl w:val="0"/>
          <w:numId w:val="1"/>
        </w:numPr>
        <w:spacing w:after="60" w:line="245"/>
      </w:pPr>
      <w:r>
        <w:rPr>
          <w:rFonts w:ascii="Calibri" w:cs="Calibri" w:eastAsia="Calibri" w:hAnsi="Calibri"/>
          <w:sz w:val="17"/>
          <w:szCs w:val="17"/>
        </w:rPr>
        <w:t xml:space="preserve">[M] Baffle tank, pH meter, 150 mL elution column, DDA dosing pump, two measuring cylinders</w:t>
      </w:r>
    </w:p>
    <w:p>
      <w:pPr>
        <w:pStyle w:val="ListParagraph"/>
        <w:numPr>
          <w:ilvl w:val="0"/>
          <w:numId w:val="1"/>
        </w:numPr>
        <w:spacing w:after="60" w:line="245"/>
      </w:pPr>
      <w:r>
        <w:rPr>
          <w:rFonts w:ascii="Calibri" w:cs="Calibri" w:eastAsia="Calibri" w:hAnsi="Calibri"/>
          <w:sz w:val="17"/>
          <w:szCs w:val="17"/>
        </w:rPr>
        <w:t xml:space="preserve">[M] Fresh resin, distilled water, NaCN, CuSO4 (plant), NaOH (caustic), NaCl (plant and new vendor), AgNO3 0.01 M</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"Testing NaCl from New Vendor" (11/01/2025).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NaCl from each vendor by running a copper elution test. All work inside the fume cupboard.</w:t>
      </w:r>
    </w:p>
    <w:p>
      <w:pPr>
        <w:spacing w:after="60" w:before="0" w:line="245"/>
      </w:pPr>
      <w:r>
        <w:rPr>
          <w:rFonts w:ascii="Calibri" w:cs="Calibri" w:eastAsia="Calibri" w:hAnsi="Calibri"/>
          <w:b/>
          <w:sz w:val="17"/>
          <w:szCs w:val="17"/>
        </w:rPr>
        <w:t xml:space="preserve">Part 1 - Preconditioning: load copper cyanide on fresh resin at 70 kg/t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Put 4 L distilled water in the baffle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Adjust and hold the pH at 10.5 to 12 with caustic.</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7.29 g NaCN and mix.</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Add 68.2 mL CuSO4 solution and keep the pH at 10.5 to 12 with caustic. [CONFIRM] CuSO4 solution strength and form (source table says CuSO4.7H2O, reagent list says CuSO4 plant).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Sample 100 mL and record the final pH.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Titrate with AgNO3 0.01 M and send the remainder to ITS for Cu assay as the head (Precond after Cu added).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Put 150 mL fresh resin in the elution column and inject the solution for 1 hour at 1 L/h. [CONFIRM] source reads 'flowrate 1 lph'.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Flush the column with 200 mL distilled water.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final product volume, stir, and sample 100 mL as the precondition tail (Precond_final).</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Titrate with AgNO3 0.01 M, send the remainder to ITS for Cu assay, and record the titration result.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Repeat for the other 3 resin charges to give 4 preconditioned resins. [CONFIRM] which NaCl sources the 4 charges represent (plant NaCl plus new vendors).</w:t>
      </w:r>
    </w:p>
    <w:p>
      <w:pPr>
        <w:spacing w:after="60" w:before="0" w:line="245"/>
      </w:pPr>
      <w:r>
        <w:rPr>
          <w:rFonts w:ascii="Calibri" w:cs="Calibri" w:eastAsia="Calibri" w:hAnsi="Calibri"/>
          <w:b/>
          <w:sz w:val="17"/>
          <w:szCs w:val="17"/>
        </w:rPr>
        <w:t xml:space="preserve">Part 2 - Copper elution test [M]</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Weigh 29.4 g NaCN. [CONFIRM] 29.4 g in 600 mL is about 49 g/L (roughly 1 M NaCN); confirm this strength is intended.</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Weigh 36.2 g NaCl (plant or vendor sample under test).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300 mL distilled water in a beaker, add the NaCl and stir with the agitator or magnetic stirrer.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Adjust to pH 10 to 11 with NaOH. [CONFIRM] confirm the pH is above 10.5 before the NaCN is added (site rule).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Add the NaCN and stir.</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Make up to 600 mL with distilled water and stir.</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Fill the column with 150 mL of the preconditioned resin sample with no voids between resin.</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Fill the column with distilled water, calibrate, then drain the remaining water from the column.</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Start eluant injection with the dosing pump at 1 BV/h (150 mL/h, 2.5 mL/min) for 3 hours.</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Target final elution volume 450 mL. The 150 mL left in the beaker is discarded.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Direct the column discharge (eluate) to a beaker. Use 2 measuring cylinders alternately when moving eluate to the sample bottles.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Sample the eluate at 30, 60, 90, 120, 150 and 180 minutes. Target 75 mL of eluate per 30 minutes; transfer each fraction to its sample bottle.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Titrate all samples for cyanide (WI Titrasi Cyanide dengan AgNO3). [CONFIRM] source quotes AgNO3 0.1 M here and 0.01 M in Part 1; see SWI-PRO-MET-205-001.</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Send the samples to ITS for Cu and Fe assay.</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Record the data and assay results in 'G:\Processing\5. Metallurgy\Metallurgy Lab\04 Metlab Data\Resin\Copper Elution Test Worksheet'.</w:t>
      </w:r>
    </w:p>
    <w:p>
      <w:pPr>
        <w:spacing w:after="60" w:before="0" w:line="245"/>
      </w:pPr>
      <w:r>
        <w:rPr>
          <w:rFonts w:ascii="Calibri" w:cs="Calibri" w:eastAsia="Calibri" w:hAnsi="Calibri"/>
          <w:b/>
          <w:sz w:val="17"/>
          <w:szCs w:val="17"/>
        </w:rPr>
        <w:t xml:space="preserve">Part 3 - Dissolving NaCl at 1 M and 3 M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Dissolve the NaCl of each vendor and the existing plant NaCl into 500 mL of solution at the dose from the table: 1 M = 30.15 g, 3 M = 90.46 g per 500 mL (97% purity, molar mass 58.5 g/mol).</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Run a jar test for 50 minutes.</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Observe, and photograph any precipitate.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SOP-PROC-CNREC-02 Cyanide elution and CNREC-05 Metal elution, received 11 Aug 2026 - operating elution conditions from a working plant, usable as the test target</w:t>
      </w:r>
    </w:p>
    <w:p>
      <w:pPr>
        <w:pStyle w:val="ListParagraph"/>
        <w:numPr>
          <w:ilvl w:val="0"/>
          <w:numId w:val="1"/>
        </w:numPr>
        <w:spacing w:after="60" w:line="245"/>
      </w:pPr>
      <w:r>
        <w:rPr>
          <w:rFonts w:ascii="Calibri" w:cs="Calibri" w:eastAsia="Calibri" w:hAnsi="Calibri"/>
          <w:sz w:val="17"/>
          <w:szCs w:val="17"/>
        </w:rPr>
        <w:t xml:space="preserve">No Goldquip resin elution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'Testing NaCl from New Vendor' (Indonesian, 11/01/2025) - method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SWI-PRO-MET-205-013  ·  Resin Elution Efficiency and Barren Resin Loading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