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Glassware Cleaning and Drying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Clean and dry laboratory glassware so it does not carry contamination into the next result.</w:t>
      </w:r>
    </w:p>
    <w:p>
      <w:pPr>
        <w:spacing w:after="60" w:before="0" w:line="245"/>
      </w:pPr>
      <w:r>
        <w:rPr>
          <w:rFonts w:ascii="Calibri" w:cs="Calibri" w:eastAsia="Calibri" w:hAnsi="Calibri"/>
          <w:sz w:val="17"/>
          <w:szCs w:val="17"/>
        </w:rPr>
        <w:t xml:space="preserve">A trace of gold or cyanide carried over on glassware contaminates the next sample and the error is invisible.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After every use.</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SWI-PRO-MET-206-008 in HM-MMM-WHS-REG-XXX-R00-SWI-SWMS, tab SWI-MET. The matching hazard analysis is JSEA-PRO-MET-206-008.</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JSEA-PRO-MET-206-008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JSEA-PRO-MET-206-008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Wash sinks</w:t>
      </w:r>
    </w:p>
    <w:p>
      <w:pPr>
        <w:pStyle w:val="ListParagraph"/>
        <w:numPr>
          <w:ilvl w:val="0"/>
          <w:numId w:val="1"/>
        </w:numPr>
        <w:spacing w:after="60" w:line="245"/>
      </w:pPr>
      <w:r>
        <w:rPr>
          <w:rFonts w:ascii="Calibri" w:cs="Calibri" w:eastAsia="Calibri" w:hAnsi="Calibri"/>
          <w:sz w:val="17"/>
          <w:szCs w:val="17"/>
        </w:rPr>
        <w:t xml:space="preserve">Detergent</w:t>
      </w:r>
    </w:p>
    <w:p>
      <w:pPr>
        <w:pStyle w:val="ListParagraph"/>
        <w:numPr>
          <w:ilvl w:val="0"/>
          <w:numId w:val="1"/>
        </w:numPr>
        <w:spacing w:after="60" w:line="245"/>
      </w:pPr>
      <w:r>
        <w:rPr>
          <w:rFonts w:ascii="Calibri" w:cs="Calibri" w:eastAsia="Calibri" w:hAnsi="Calibri"/>
          <w:sz w:val="17"/>
          <w:szCs w:val="17"/>
        </w:rPr>
        <w:t xml:space="preserve">Acid wash bath where the method requires it</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Drying oven and drying racks</w:t>
      </w:r>
    </w:p>
    <w:p>
      <w:pPr>
        <w:pStyle w:val="ListParagraph"/>
        <w:numPr>
          <w:ilvl w:val="0"/>
          <w:numId w:val="1"/>
        </w:numPr>
        <w:spacing w:after="60" w:line="245"/>
      </w:pPr>
      <w:r>
        <w:rPr>
          <w:rFonts w:ascii="Calibri" w:cs="Calibri" w:eastAsia="Calibri" w:hAnsi="Calibri"/>
          <w:sz w:val="17"/>
          <w:szCs w:val="17"/>
        </w:rPr>
        <w:t xml:space="preserve">Brushes</w:t>
      </w:r>
    </w:p>
    <w:p>
      <w:pPr>
        <w:pStyle w:val="ListParagraph"/>
        <w:numPr>
          <w:ilvl w:val="0"/>
          <w:numId w:val="1"/>
        </w:numPr>
        <w:spacing w:after="60" w:line="245"/>
      </w:pPr>
      <w:r>
        <w:rPr>
          <w:rFonts w:ascii="Calibri" w:cs="Calibri" w:eastAsia="Calibri" w:hAnsi="Calibri"/>
          <w:sz w:val="17"/>
          <w:szCs w:val="17"/>
        </w:rPr>
        <w:t xml:space="preserve">Fume cupboard for acid washing</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Rinse glassware immediately after use, before residues dry 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Discard the rinse to the correct waste stream - a cyanide rinse is cyanide waste.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with detergent and a brush, then rinse with tap water.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Acid wash where the method requires it, in the fume cupboard, then rinse thoroughly.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Give a final rinse with distilled or RO/DI water. Tap water leaves dissolved solids.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Inspect for chips and cracks and discard anything damaged into the sharps bin.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Dry in the oven or on the rack. Do not dry volumetric glassware in an oven - heat changes its volume.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Store clean glassware inverted or covered so it stays clean.</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KBK-MIR-LAB-WET-SOP-049 and ENV-SOP-060 glassware drying and washing</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SWI-PRO-MET-206-008  ·  Glassware Cleaning and Drying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