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5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Mt. Morgan SITE WORK INSTRUCTION</w:t>
      </w:r>
    </w:p>
    <w:p>
      <w:pPr>
        <w:pBdr>
          <w:bottom w:val="single" w:sz="8" w:space="4" w:color="1F3864"/>
        </w:pBdr>
        <w:spacing w:after="80" w:before="0" w:lin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Cyanide Analyser Specialised Electrode Replacement and Conditioning</w:t>
      </w:r>
    </w:p>
    <w:p>
      <w:pPr>
        <w:spacing w:after="140" w:before="0" w:line="245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Standard Work Instruction  ·  Heritage Minerals  ·  Mt. Morgan Processing Plant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val="clear" w:color="auto" w:fill="F2F5FA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Document number</w:t>
            </w:r>
          </w:p>
        </w:tc>
        <w:tc>
          <w:tcPr>
            <w:tcW w:type="dxa" w:w="682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SWI-PRO-MET-207-009</w:t>
            </w:r>
          </w:p>
        </w:tc>
      </w:tr>
      <w:tr>
        <w:tc>
          <w:tcPr>
            <w:tcW w:type="dxa" w:w="2200"/>
            <w:shd w:val="clear" w:color="auto" w:fill="F2F5FA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JSEA reference</w:t>
            </w:r>
          </w:p>
        </w:tc>
        <w:tc>
          <w:tcPr>
            <w:tcW w:type="dxa" w:w="682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JSEA-PRO-MET-207-009</w:t>
            </w:r>
          </w:p>
        </w:tc>
      </w:tr>
      <w:tr>
        <w:tc>
          <w:tcPr>
            <w:tcW w:type="dxa" w:w="2200"/>
            <w:shd w:val="clear" w:color="auto" w:fill="F2F5FA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Area</w:t>
            </w:r>
          </w:p>
        </w:tc>
        <w:tc>
          <w:tcPr>
            <w:tcW w:type="dxa" w:w="682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207  Automatic Sampling and Online Analysers</w:t>
            </w:r>
          </w:p>
        </w:tc>
      </w:tr>
      <w:tr>
        <w:tc>
          <w:tcPr>
            <w:tcW w:type="dxa" w:w="2200"/>
            <w:shd w:val="clear" w:color="auto" w:fill="F2F5FA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Parent procedure</w:t>
            </w:r>
          </w:p>
        </w:tc>
        <w:tc>
          <w:tcPr>
            <w:tcW w:type="dxa" w:w="682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HM-PRC-VXX-PRO211  Automatic Sampling and Online Analyser Operation</w:t>
            </w:r>
          </w:p>
        </w:tc>
      </w:tr>
      <w:tr>
        <w:tc>
          <w:tcPr>
            <w:tcW w:type="dxa" w:w="2200"/>
            <w:shd w:val="clear" w:color="auto" w:fill="F2F5FA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82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Safety-critical</w:t>
            </w:r>
          </w:p>
        </w:tc>
      </w:tr>
      <w:tr>
        <w:tc>
          <w:tcPr>
            <w:tcW w:type="dxa" w:w="2200"/>
            <w:shd w:val="clear" w:color="auto" w:fill="F2F5FA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Revision</w:t>
            </w:r>
          </w:p>
        </w:tc>
        <w:tc>
          <w:tcPr>
            <w:tcW w:type="dxa" w:w="682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 A</w:t>
            </w:r>
          </w:p>
        </w:tc>
      </w:tr>
      <w:tr>
        <w:tc>
          <w:tcPr>
            <w:tcW w:type="dxa" w:w="2200"/>
            <w:shd w:val="clear" w:color="auto" w:fill="F2F5FA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682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 August 2026</w:t>
            </w:r>
          </w:p>
        </w:tc>
      </w:tr>
      <w:tr>
        <w:tc>
          <w:tcPr>
            <w:tcW w:type="dxa" w:w="2200"/>
            <w:shd w:val="clear" w:color="auto" w:fill="F2F5FA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82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GGT (cost code 4034-033)</w:t>
            </w:r>
          </w:p>
        </w:tc>
      </w:tr>
      <w:tr>
        <w:tc>
          <w:tcPr>
            <w:tcW w:type="dxa" w:w="2200"/>
            <w:shd w:val="clear" w:color="auto" w:fill="F2F5FA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82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________________________</w:t>
            </w:r>
          </w:p>
        </w:tc>
      </w:tr>
      <w:tr>
        <w:tc>
          <w:tcPr>
            <w:tcW w:type="dxa" w:w="2200"/>
            <w:shd w:val="clear" w:color="auto" w:fill="F2F5FA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82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________________________</w:t>
            </w:r>
          </w:p>
        </w:tc>
      </w:tr>
    </w:tbl>
    <w:p>
      <w:pPr>
        <w:spacing w:after="100" w:before="0" w:line="245"/>
      </w:pPr>
    </w:p>
    <w:tbl>
      <w:tblPr>
        <w:tblW w:type="dxa" w:w="9026"/>
        <w:tblBorders>
          <w:left w:val="single" w:color="9E2A2A" w:sz="18"/>
        </w:tblBorders>
        <w:tblCellMar>
          <w:top w:type="dxa" w:w="90"/>
          <w:left w:type="dxa" w:w="150"/>
          <w:bottom w:type="dxa" w:w="90"/>
          <w:right w:type="dxa" w:w="120"/>
        </w:tblCellMar>
      </w:tblPr>
      <w:tblGrid>
        <w:gridCol w:w="9026"/>
      </w:tblGrid>
      <w:tr>
        <w:tc>
          <w:tcPr>
            <w:tcW w:type="dxa" w:w="9026"/>
            <w:shd w:val="clear" w:color="auto" w:fill="FDECEC"/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/>
                <w:bCs/>
                <w:color w:val="9E2A2A"/>
                <w:sz w:val="17"/>
                <w:szCs w:val="17"/>
              </w:rPr>
              <w:t xml:space="preserve">ISSUED BUT NOT FOR USE. This document is a placeholder against the register line so the line is not empty. It cannot be used until the named input arrives - see the folder README for the blocker and what closes it.</w:t>
            </w:r>
          </w:p>
        </w:tc>
      </w:tr>
    </w:tbl>
    <w:p>
      <w:pPr>
        <w:spacing w:after="40" w:before="0" w:line="245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  TASK AND SCOPE</w:t>
      </w:r>
    </w:p>
    <w:p>
      <w:pPr>
        <w:spacing w:after="60" w:before="0" w:line="245"/>
      </w:pPr>
      <w:r>
        <w:rPr>
          <w:rFonts w:ascii="Calibri" w:cs="Calibri" w:eastAsia="Calibri" w:hAnsi="Calibri"/>
          <w:sz w:val="17"/>
          <w:szCs w:val="17"/>
        </w:rPr>
        <w:t xml:space="preserve">Replace and condition the specialised electrodes in the online cyanide analysers.</w:t>
      </w:r>
    </w:p>
    <w:p>
      <w:pPr>
        <w:spacing w:after="60" w:before="0" w:line="245"/>
      </w:pPr>
      <w:r>
        <w:rPr>
          <w:rFonts w:ascii="Calibri" w:cs="Calibri" w:eastAsia="Calibri" w:hAnsi="Calibri"/>
          <w:sz w:val="17"/>
          <w:szCs w:val="17"/>
        </w:rPr>
        <w:t xml:space="preserve">Points and equipment covered: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val="clear" w:color="auto" w:fill="1F3864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Tag / point</w:t>
            </w:r>
          </w:p>
        </w:tc>
        <w:tc>
          <w:tcPr>
            <w:tcW w:type="dxa" w:w="6426"/>
            <w:shd w:val="clear" w:color="auto" w:fill="1F3864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Mintex 3000366 and 3000330</w:t>
            </w:r>
          </w:p>
        </w:tc>
        <w:tc>
          <w:tcPr>
            <w:tcW w:type="dxa" w:w="642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Analyser electrodes identified in the instrument list</w:t>
            </w:r>
          </w:p>
        </w:tc>
      </w:tr>
    </w:tbl>
    <w:p>
      <w:pPr>
        <w:spacing w:after="60" w:before="0" w:line="245"/>
      </w:pPr>
    </w:p>
    <w:p>
      <w:pPr>
        <w:spacing w:after="60" w:before="0" w:line="245"/>
      </w:pPr>
      <w:r>
        <w:rPr>
          <w:rFonts w:ascii="Calibri" w:cs="Calibri" w:eastAsia="Calibri" w:hAnsi="Calibri"/>
          <w:sz w:val="17"/>
          <w:szCs w:val="17"/>
        </w:rPr>
        <w:t xml:space="preserve">Frequency: To be set once the vendor manual is held.</w:t>
      </w:r>
    </w:p>
    <w:p>
      <w:pPr>
        <w:spacing w:after="60" w:before="0" w:line="245"/>
      </w:pPr>
      <w:r>
        <w:rPr>
          <w:rFonts w:ascii="Calibri" w:cs="Calibri" w:eastAsia="Calibri" w:hAnsi="Calibri"/>
          <w:sz w:val="17"/>
          <w:szCs w:val="17"/>
        </w:rPr>
        <w:t xml:space="preserve">This instruction sits under Standard Work Procedure HM-PRC-VXX-PRO211 - Automatic Sampling and Online Analyser Operation. Read that procedure before carrying out this task for the first time.</w:t>
      </w:r>
    </w:p>
    <w:p>
      <w:pPr>
        <w:spacing w:after="60" w:before="0" w:line="245"/>
      </w:pPr>
      <w:r>
        <w:rPr>
          <w:rFonts w:ascii="Calibri" w:cs="Calibri" w:eastAsia="Calibri" w:hAnsi="Calibri"/>
          <w:sz w:val="17"/>
          <w:szCs w:val="17"/>
        </w:rPr>
        <w:t xml:space="preserve">Register line: SWI-PRO-MET-207-009 in HM-MMM-WHS-REG-XXX-R00-SWI-SWMS, tab SWI-MET. The matching hazard analysis is JSEA-PRO-MET-207-009.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  WHO MAY DO THIS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Trained and signed off against this instruction.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Signed on to JSEA JSEA-PRO-MET-207-009 at a communication session.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Site inducted, with current cyanide awareness and gas detection competency where the area requires it.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Authorised by the Shift Supervisor before the task starts.</w:t>
      </w:r>
    </w:p>
    <w:p>
      <w:pPr>
        <w:spacing w:after="60" w:before="0" w:line="245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This is a safety-critical task. It is not carried out alone in a cyanide area, and not without the Shift Supervisor knowing it is in progress.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  HAZARDS SPECIFIC TO THIS TASK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val="clear" w:color="auto" w:fill="1F3864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Hazard</w:t>
            </w:r>
          </w:p>
        </w:tc>
        <w:tc>
          <w:tcPr>
            <w:tcW w:type="dxa" w:w="6126"/>
            <w:shd w:val="clear" w:color="auto" w:fill="1F3864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Control</w:t>
            </w:r>
          </w:p>
        </w:tc>
      </w:tr>
      <w:t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Hydrogen cyanide gas released at the open sample point</w:t>
            </w:r>
          </w:p>
        </w:tc>
        <w:tc>
          <w:tcPr>
            <w:tcW w:type="dxa" w:w="612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Personal HCN monitor worn and switched on, in calibration date. Fixed detection confirmed healthy - alarm 5 ppm, high-high 10 ppm. Sample point approached from upwind. pH of the stream confirmed above 10.5 before opening. Second person in sight and clear. Cyanide antidote kit on site and a trained first aider on shift. Withdraw upwind and report on any reading above the site action level.</w:t>
            </w:r>
          </w:p>
        </w:tc>
      </w:tr>
      <w:tr>
        <w:tc>
          <w:tcPr>
            <w:tcW w:type="dxa" w:w="2900"/>
            <w:shd w:val="clear" w:color="auto" w:fill="F2F5FA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Splash of cyanide-bearing slurry or solution to skin or eyes</w:t>
            </w:r>
          </w:p>
        </w:tc>
        <w:tc>
          <w:tcPr>
            <w:tcW w:type="dxa" w:w="6126"/>
            <w:shd w:val="clear" w:color="auto" w:fill="F2F5FA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Sample valve opened slowly with the container positioned first and the body out of the spray path. Face shield, chemical splash goggles, chemical-resistant gloves and apron. Never open a sample valve whose discharge cannot be seen. Safety shower and eyewash proven flowing before the round starts.</w:t>
            </w:r>
          </w:p>
        </w:tc>
      </w:tr>
      <w:t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Contact with live electrical equipment at a sample pump, cutter or local control station</w:t>
            </w:r>
          </w:p>
        </w:tc>
        <w:tc>
          <w:tcPr>
            <w:tcW w:type="dxa" w:w="612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opening of electrical enclosures. Faults reported, not investigated. Isolation, lock-out, tag-out and test-for-dead by an authorised person before any electrical work.</w:t>
            </w:r>
          </w:p>
        </w:tc>
      </w:tr>
      <w:tr>
        <w:tc>
          <w:tcPr>
            <w:tcW w:type="dxa" w:w="2900"/>
            <w:shd w:val="clear" w:color="auto" w:fill="F2F5FA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Cuts from broken glassware, and burns from hot glassware</w:t>
            </w:r>
          </w:p>
        </w:tc>
        <w:tc>
          <w:tcPr>
            <w:tcW w:type="dxa" w:w="6126"/>
            <w:shd w:val="clear" w:color="auto" w:fill="F2F5FA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Glassware inspected for chips and cracks before use and discarded if damaged. Hot glassware handled with tongs or heat-resistant gloves and set down on a heat mat. Broken glass to the sharps bin, never to the general waste or by hand.</w:t>
            </w:r>
          </w:p>
        </w:tc>
      </w:tr>
      <w:t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Cross-contamination from a container or cutter not cleaned between points</w:t>
            </w:r>
          </w:p>
        </w:tc>
        <w:tc>
          <w:tcPr>
            <w:tcW w:type="dxa" w:w="612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Bucket, container, cutter and sieve rinsed with process water and then with the stream being sampled, and the rinse discarded, before every sample. Dedicated containers for high-grade streams. Labels checked against the schedule before handover.</w:t>
            </w:r>
          </w:p>
        </w:tc>
      </w:tr>
    </w:tbl>
    <w:p>
      <w:pPr>
        <w:spacing w:after="60" w:before="0" w:line="245"/>
      </w:pPr>
    </w:p>
    <w:p>
      <w:pPr>
        <w:spacing w:after="60" w:before="0" w:line="245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The full step-by-step hazard analysis, with the risk ranking, is in JSEA JSEA-PRO-MET-207-009 Section 4.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  PPE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Hard hat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Safety glasses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High-visibility long-sleeved shirt and long trousers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Safety boots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Gloves appropriate to the task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Personal HCN gas monitor, calibrated and in test date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Chemical splash goggles and face shield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Nitrile rubber gloves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Nitrile PVC boots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Chemical resistant suit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Full or half gas mask with A2B2E2K2P3 cartridge, carried and available for immediate use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Harness and fall arrest where no fixed platform exists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  BEFORE YOU START</w:t>
      </w:r>
    </w:p>
    <w:p>
      <w:pPr>
        <w:spacing w:after="60" w:before="0" w:line="245"/>
      </w:pPr>
      <w:r>
        <w:rPr>
          <w:rFonts w:ascii="Calibri" w:cs="Calibri" w:eastAsia="Calibri" w:hAnsi="Calibri"/>
          <w:sz w:val="17"/>
          <w:szCs w:val="17"/>
        </w:rPr>
        <w:t xml:space="preserve">Every item below must be true. If one is not, stop and report it.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Notify the control room that the task is starting, and where you will be.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Confirm the personal gas monitor is on, in calibration date and reading clean.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Confirm the safety shower and eyewash nearest the work are within reach and proven flowing.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Confirm the area is fit - no restricted access, no gas alarm, no spill response in progress.</w:t>
      </w:r>
    </w:p>
    <w:p>
      <w:pPr>
        <w:spacing w:after="60" w:before="0" w:line="245"/>
      </w:pPr>
      <w:r>
        <w:rPr>
          <w:rFonts w:ascii="Calibri" w:cs="Calibri" w:eastAsia="Calibri" w:hAnsi="Calibri"/>
          <w:sz w:val="17"/>
          <w:szCs w:val="17"/>
        </w:rPr>
        <w:t xml:space="preserve">Equipment required: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To be confirmed once the Molycop Cynoprobe manual is held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  STEPS</w:t>
      </w:r>
    </w:p>
    <w:p>
      <w:pPr>
        <w:ind w:left="280"/>
        <w:spacing w:after="50" w:before="0" w:line="245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1.</w:t>
      </w:r>
      <w:r>
        <w:rPr>
          <w:rFonts w:ascii="Calibri" w:cs="Calibri" w:eastAsia="Calibri" w:hAnsi="Calibri"/>
          <w:sz w:val="17"/>
          <w:szCs w:val="17"/>
        </w:rPr>
        <w:t xml:space="preserve">  This task cannot be completed. See the folder README for the blocker.</w:t>
      </w:r>
    </w:p>
    <w:p>
      <w:pPr>
        <w:ind w:left="280"/>
        <w:spacing w:after="50" w:before="0" w:line="245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2.</w:t>
      </w:r>
      <w:r>
        <w:rPr>
          <w:rFonts w:ascii="Calibri" w:cs="Calibri" w:eastAsia="Calibri" w:hAnsi="Calibri"/>
          <w:sz w:val="17"/>
          <w:szCs w:val="17"/>
        </w:rPr>
        <w:t xml:space="preserve">  The document is issued so the register line is not empty, and is marked NOT FOR USE.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  ON COMPLETION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Leave the area clean. Recover spillage to the drain, not to the ground.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Return all equipment to its storage point.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Record what was done, what was found and anything not completed.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Notify the control room that the task is complete.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  RECORDS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Field or bench data sheet - date, time, shift, operator, and every value determined.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Register or logbook entry and any handover signature.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Any step not completed, recorded with the reason.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Any control in Section 3 found not in place, reported to the Shift Supervisor and recorded.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  REFERENCE</w:t>
      </w:r>
    </w:p>
    <w:p>
      <w:pPr>
        <w:pStyle w:val="ListParagraph"/>
        <w:numPr>
          <w:ilvl w:val="0"/>
          <w:numId w:val="1"/>
        </w:numPr>
        <w:spacing w:after="60" w:line="245"/>
      </w:pPr>
      <w:r>
        <w:rPr>
          <w:rFonts w:ascii="Calibri" w:cs="Calibri" w:eastAsia="Calibri" w:hAnsi="Calibri"/>
          <w:sz w:val="17"/>
          <w:szCs w:val="17"/>
        </w:rPr>
        <w:t xml:space="preserve">Electrodes identified as Mintex 3000366 and 3000330 in the instrument list. No procedure held.</w:t>
      </w:r>
    </w:p>
    <w:sectPr>
      <w:headerReference w:type="default" r:id="rId7"/>
      <w:footerReference w:type="default" r:id="rId8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of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sz="4" w:space="2" w:color="D7DEE9"/>
      </w:pBdr>
      <w:spacing w:after="0" w:line="240"/>
    </w:pPr>
    <w:r>
      <w:rPr>
        <w:rFonts w:ascii="Calibri" w:cs="Calibri" w:eastAsia="Calibri" w:hAnsi="Calibri"/>
        <w:color w:val="555555"/>
        <w:sz w:val="15"/>
        <w:szCs w:val="15"/>
      </w:rPr>
      <w:t xml:space="preserve">SWI-PRO-MET-207-009  ·  Cyanide Analyser Specialised Electrode Replacement and Conditioning  ·  Rev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2026-08-09T12:17:56.406Z</dcterms:created>
  <dcterms:modified xsi:type="dcterms:W3CDTF">2026-08-09T12:17:56.406Z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