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SITE WORK INSTRUCTION</w:t>
      </w:r>
    </w:p>
    <w:p>
      <w:pPr>
        <w:pBdr>
          <w:bottom w:val="single" w:sz="8" w:space="4" w:color="1F3864"/>
        </w:pBdr>
        <w:spacing w:after="80" w:before="0" w:line="300"/>
      </w:pPr>
      <w:r>
        <w:rPr>
          <w:rFonts w:ascii="Calibri" w:cs="Calibri" w:eastAsia="Calibri" w:hAnsi="Calibri"/>
          <w:b/>
          <w:bCs/>
          <w:color w:val="1F3864"/>
          <w:sz w:val="32"/>
          <w:szCs w:val="32"/>
        </w:rPr>
        <w:t xml:space="preserve">Loaded Carbon Sampling at Loaded Carbon Screen 032-SC-002</w:t>
      </w:r>
    </w:p>
    <w:p>
      <w:pPr>
        <w:spacing w:after="140" w:before="0" w:line="245"/>
      </w:pPr>
      <w:r>
        <w:rPr>
          <w:rFonts w:ascii="Calibri" w:cs="Calibri" w:eastAsia="Calibri" w:hAnsi="Calibri"/>
          <w:color w:val="555555"/>
          <w:sz w:val="17"/>
          <w:szCs w:val="17"/>
        </w:rPr>
        <w:t xml:space="preserve">Standard Work Instruction  ·  Heritage Minerals  ·  Mt. Morgan Processing Plant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SWI-PRO-MET-201-006</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JSEA-PRO-MET-201-006</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032 Carbon in Leach</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HM-PRC-VXX-PRO205  Plant Sampling and Metallurgical Data Collection</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Rev A</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TASK AND SCOPE</w:t>
      </w:r>
    </w:p>
    <w:p>
      <w:pPr>
        <w:spacing w:after="60" w:before="0" w:line="245"/>
      </w:pPr>
      <w:r>
        <w:rPr>
          <w:rFonts w:ascii="Calibri" w:cs="Calibri" w:eastAsia="Calibri" w:hAnsi="Calibri"/>
          <w:sz w:val="17"/>
          <w:szCs w:val="17"/>
        </w:rPr>
        <w:t xml:space="preserve">Set the gold loading on carbon leaving the CIL circuit, in grams per tonne.</w:t>
      </w:r>
    </w:p>
    <w:p>
      <w:pPr>
        <w:spacing w:after="60" w:before="0" w:line="245"/>
      </w:pPr>
      <w:r>
        <w:rPr>
          <w:rFonts w:ascii="Calibri" w:cs="Calibri" w:eastAsia="Calibri" w:hAnsi="Calibri"/>
          <w:sz w:val="17"/>
          <w:szCs w:val="17"/>
        </w:rPr>
        <w:t xml:space="preserve">This is the number the elution batch is sized against, and the input to carbon inventory accounting.</w:t>
      </w:r>
    </w:p>
    <w:p>
      <w:pPr>
        <w:spacing w:after="60" w:before="0" w:line="245"/>
      </w:pPr>
      <w:r>
        <w:rPr>
          <w:rFonts w:ascii="Calibri" w:cs="Calibri" w:eastAsia="Calibri" w:hAnsi="Calibri"/>
          <w:sz w:val="17"/>
          <w:szCs w:val="17"/>
        </w:rPr>
        <w:t xml:space="preserve">Points and equipment covered: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64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032-SC-002</w:t>
            </w:r>
          </w:p>
        </w:tc>
        <w:tc>
          <w:tcPr>
            <w:tcW w:type="dxa" w:w="6426"/>
            <w:tcMar>
              <w:top w:type="dxa" w:w="55"/>
              <w:left w:type="dxa" w:w="85"/>
              <w:bottom w:type="dxa" w:w="55"/>
              <w:right w:type="dxa" w:w="85"/>
            </w:tcMar>
          </w:tcPr>
          <w:p>
            <w:pPr>
              <w:spacing w:after="0" w:line="235"/>
            </w:pPr>
            <w:r>
              <w:rPr>
                <w:rFonts w:ascii="Calibri" w:cs="Calibri" w:eastAsia="Calibri" w:hAnsi="Calibri"/>
                <w:sz w:val="16"/>
                <w:szCs w:val="16"/>
              </w:rPr>
              <w:t xml:space="preserve">Loaded carbon screen - feed and oversize</w:t>
            </w:r>
          </w:p>
        </w:tc>
      </w:tr>
    </w:tbl>
    <w:p>
      <w:pPr>
        <w:spacing w:after="60" w:before="0" w:line="245"/>
      </w:pPr>
    </w:p>
    <w:p>
      <w:pPr>
        <w:spacing w:after="60" w:before="0" w:line="245"/>
      </w:pPr>
      <w:r>
        <w:rPr>
          <w:rFonts w:ascii="Calibri" w:cs="Calibri" w:eastAsia="Calibri" w:hAnsi="Calibri"/>
          <w:sz w:val="17"/>
          <w:szCs w:val="17"/>
        </w:rPr>
        <w:t xml:space="preserve">Frequency: Every carbon transfer, and at least once per shift while transfers are running.</w:t>
      </w:r>
    </w:p>
    <w:p>
      <w:pPr>
        <w:spacing w:after="60" w:before="0" w:line="245"/>
      </w:pPr>
      <w:r>
        <w:rPr>
          <w:rFonts w:ascii="Calibri" w:cs="Calibri" w:eastAsia="Calibri" w:hAnsi="Calibri"/>
          <w:sz w:val="17"/>
          <w:szCs w:val="17"/>
        </w:rPr>
        <w:t xml:space="preserve">This instruction sits under Standard Work Procedure HM-PRC-VXX-PRO205 - Plant Sampling and Metallurgical Data Collection. Read that procedure before carrying out this task for the first time.</w:t>
      </w:r>
    </w:p>
    <w:p>
      <w:pPr>
        <w:spacing w:after="60" w:before="0" w:line="245"/>
      </w:pPr>
      <w:r>
        <w:rPr>
          <w:rFonts w:ascii="Calibri" w:cs="Calibri" w:eastAsia="Calibri" w:hAnsi="Calibri"/>
          <w:sz w:val="17"/>
          <w:szCs w:val="17"/>
        </w:rPr>
        <w:t xml:space="preserve">Register line: SWI-PRO-MET-201-006 in HM-MMM-WHS-REG-XXX-R00-SWI-SWMS, tab SWI-MET. The matching hazard analysis is JSEA-PRO-MET-201-006.</w:t>
      </w:r>
    </w:p>
    <w:p>
      <w:pPr>
        <w:pStyle w:val="Heading1"/>
        <w:spacing w:after="120" w:before="260"/>
      </w:pPr>
      <w:r>
        <w:rPr>
          <w:rFonts w:ascii="Calibri" w:cs="Calibri" w:eastAsia="Calibri" w:hAnsi="Calibri"/>
          <w:b/>
          <w:bCs/>
          <w:color w:val="1F3864"/>
          <w:sz w:val="24"/>
          <w:szCs w:val="24"/>
        </w:rPr>
        <w:t xml:space="preserve">2  WHO MAY DO THIS</w:t>
      </w:r>
    </w:p>
    <w:p>
      <w:pPr>
        <w:pStyle w:val="ListParagraph"/>
        <w:numPr>
          <w:ilvl w:val="0"/>
          <w:numId w:val="1"/>
        </w:numPr>
        <w:spacing w:after="60" w:line="245"/>
      </w:pPr>
      <w:r>
        <w:rPr>
          <w:rFonts w:ascii="Calibri" w:cs="Calibri" w:eastAsia="Calibri" w:hAnsi="Calibri"/>
          <w:sz w:val="17"/>
          <w:szCs w:val="17"/>
        </w:rPr>
        <w:t xml:space="preserve">Trained and signed off against this instruction.</w:t>
      </w:r>
    </w:p>
    <w:p>
      <w:pPr>
        <w:pStyle w:val="ListParagraph"/>
        <w:numPr>
          <w:ilvl w:val="0"/>
          <w:numId w:val="1"/>
        </w:numPr>
        <w:spacing w:after="60" w:line="245"/>
      </w:pPr>
      <w:r>
        <w:rPr>
          <w:rFonts w:ascii="Calibri" w:cs="Calibri" w:eastAsia="Calibri" w:hAnsi="Calibri"/>
          <w:sz w:val="17"/>
          <w:szCs w:val="17"/>
        </w:rPr>
        <w:t xml:space="preserve">Signed on to JSEA JSEA-PRO-MET-201-006 at a communication session.</w:t>
      </w:r>
    </w:p>
    <w:p>
      <w:pPr>
        <w:pStyle w:val="ListParagraph"/>
        <w:numPr>
          <w:ilvl w:val="0"/>
          <w:numId w:val="1"/>
        </w:numPr>
        <w:spacing w:after="60" w:line="245"/>
      </w:pPr>
      <w:r>
        <w:rPr>
          <w:rFonts w:ascii="Calibri" w:cs="Calibri" w:eastAsia="Calibri" w:hAnsi="Calibri"/>
          <w:sz w:val="17"/>
          <w:szCs w:val="17"/>
        </w:rPr>
        <w:t xml:space="preserve">Site inducted, with current 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Authorised by the Shift Supervisor before the task starts.</w:t>
      </w:r>
    </w:p>
    <w:p>
      <w:pPr>
        <w:spacing w:after="60" w:before="0" w:line="245"/>
      </w:pPr>
      <w:r>
        <w:rPr>
          <w:rFonts w:ascii="Calibri" w:cs="Calibri" w:eastAsia="Calibri" w:hAnsi="Calibri"/>
          <w:b/>
          <w:bCs/>
          <w:sz w:val="17"/>
          <w:szCs w:val="17"/>
        </w:rPr>
        <w:t xml:space="preserve">This is a safety-critical task. It is not carried out alone in a cyanide area, and not without the Shift Supervisor knowing it is in progress.</w:t>
      </w:r>
    </w:p>
    <w:p>
      <w:pPr>
        <w:pStyle w:val="Heading1"/>
        <w:spacing w:after="120" w:before="260"/>
      </w:pPr>
      <w:r>
        <w:rPr>
          <w:rFonts w:ascii="Calibri" w:cs="Calibri" w:eastAsia="Calibri" w:hAnsi="Calibri"/>
          <w:b/>
          <w:bCs/>
          <w:color w:val="1F3864"/>
          <w:sz w:val="24"/>
          <w:szCs w:val="24"/>
        </w:rPr>
        <w:t xml:space="preserve">3  HAZARDS SPECIFIC TO THIS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Hazard</w:t>
            </w:r>
          </w:p>
        </w:tc>
        <w:tc>
          <w:tcPr>
            <w:tcW w:type="dxa" w:w="61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Control</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 released at the open sample point</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Splash of cyanide-bearing slurry or solution to skin or eyes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Fall from a tank top, launder platform, column platform or access ladder</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Contact with an agitator, sample cutter, pump or screen that starts without warning</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Slip, trip or fall on wet or slurry-covered walkways around sample points</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Spillage cleaned up immediately and the point left clean. Walkways kept clear of hoses, buckets and containers. Safety boots with sound tread. Report any damaged or missing grating before use.</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Manual handling injury from carrying sample buckets, containers and composite drums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Sample volume kept to the schedule - no over-filling. Two-person lift or a trolley for composite containers above the site manual handling limit. Route cleared before lifting.</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Non-representative sample leading to a wrong process decision</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Cross-contamination from a container or cutter not cleaned between points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Bucket, container, cutter and sieve rinsed with process water and then with the stream being sampled, and the rinse discarded, before every sample. Dedicated containers for high-grade streams. Labels checked against the schedule before handover.</w:t>
            </w:r>
          </w:p>
        </w:tc>
      </w:tr>
    </w:tbl>
    <w:p>
      <w:pPr>
        <w:spacing w:after="60" w:before="0" w:line="245"/>
      </w:pPr>
    </w:p>
    <w:p>
      <w:pPr>
        <w:spacing w:after="60" w:before="0" w:line="245"/>
      </w:pPr>
      <w:r>
        <w:rPr>
          <w:rFonts w:ascii="Calibri" w:cs="Calibri" w:eastAsia="Calibri" w:hAnsi="Calibri"/>
          <w:i/>
          <w:iCs/>
          <w:sz w:val="17"/>
          <w:szCs w:val="17"/>
        </w:rPr>
        <w:t xml:space="preserve">The full step-by-step hazard analysis, with the risk ranking, is in JSEA JSEA-PRO-MET-201-006 Section 4.</w:t>
      </w:r>
    </w:p>
    <w:p>
      <w:pPr>
        <w:pStyle w:val="Heading1"/>
        <w:spacing w:after="120" w:before="260"/>
      </w:pPr>
      <w:r>
        <w:rPr>
          <w:rFonts w:ascii="Calibri" w:cs="Calibri" w:eastAsia="Calibri" w:hAnsi="Calibri"/>
          <w:b/>
          <w:bCs/>
          <w:color w:val="1F3864"/>
          <w:sz w:val="24"/>
          <w:szCs w:val="24"/>
        </w:rPr>
        <w:t xml:space="preserve">4  PPE</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Harness and fall arrest where no fixed platform exists</w:t>
      </w:r>
    </w:p>
    <w:p>
      <w:pPr>
        <w:pStyle w:val="Heading1"/>
        <w:spacing w:after="120" w:before="260"/>
      </w:pPr>
      <w:r>
        <w:rPr>
          <w:rFonts w:ascii="Calibri" w:cs="Calibri" w:eastAsia="Calibri" w:hAnsi="Calibri"/>
          <w:b/>
          <w:bCs/>
          <w:color w:val="1F3864"/>
          <w:sz w:val="24"/>
          <w:szCs w:val="24"/>
        </w:rPr>
        <w:t xml:space="preserve">5  BEFORE YOU START</w:t>
      </w:r>
    </w:p>
    <w:p>
      <w:pPr>
        <w:spacing w:after="60" w:before="0" w:line="245"/>
      </w:pPr>
      <w:r>
        <w:rPr>
          <w:rFonts w:ascii="Calibri" w:cs="Calibri" w:eastAsia="Calibri" w:hAnsi="Calibri"/>
          <w:sz w:val="17"/>
          <w:szCs w:val="17"/>
        </w:rPr>
        <w:t xml:space="preserve">Every item below must be true. If one is not, stop and report it.</w:t>
      </w:r>
    </w:p>
    <w:p>
      <w:pPr>
        <w:pStyle w:val="ListParagraph"/>
        <w:numPr>
          <w:ilvl w:val="0"/>
          <w:numId w:val="1"/>
        </w:numPr>
        <w:spacing w:after="60" w:line="245"/>
      </w:pPr>
      <w:r>
        <w:rPr>
          <w:rFonts w:ascii="Calibri" w:cs="Calibri" w:eastAsia="Calibri" w:hAnsi="Calibri"/>
          <w:sz w:val="17"/>
          <w:szCs w:val="17"/>
        </w:rPr>
        <w:t xml:space="preserve">Confirm the plant is in steady-state operation - normal operation for a minimum of 15 to 20 minutes before sampling. A sample taken during a swing is not representative.</w:t>
      </w:r>
    </w:p>
    <w:p>
      <w:pPr>
        <w:pStyle w:val="ListParagraph"/>
        <w:numPr>
          <w:ilvl w:val="0"/>
          <w:numId w:val="1"/>
        </w:numPr>
        <w:spacing w:after="60" w:line="245"/>
      </w:pPr>
      <w:r>
        <w:rPr>
          <w:rFonts w:ascii="Calibri" w:cs="Calibri" w:eastAsia="Calibri" w:hAnsi="Calibri"/>
          <w:sz w:val="17"/>
          <w:szCs w:val="17"/>
        </w:rPr>
        <w:t xml:space="preserve">Notify the control room or DCS operator that the sampling round is starting, and which points it covers.</w:t>
      </w:r>
    </w:p>
    <w:p>
      <w:pPr>
        <w:pStyle w:val="ListParagraph"/>
        <w:numPr>
          <w:ilvl w:val="0"/>
          <w:numId w:val="1"/>
        </w:numPr>
        <w:spacing w:after="60" w:line="245"/>
      </w:pPr>
      <w:r>
        <w:rPr>
          <w:rFonts w:ascii="Calibri" w:cs="Calibri" w:eastAsia="Calibri" w:hAnsi="Calibri"/>
          <w:sz w:val="17"/>
          <w:szCs w:val="17"/>
        </w:rPr>
        <w:t xml:space="preserve">Confirm the personal gas monitor is on, in calibration date and reading clean, and that fixed detection in the area is healthy.</w:t>
      </w:r>
    </w:p>
    <w:p>
      <w:pPr>
        <w:pStyle w:val="ListParagraph"/>
        <w:numPr>
          <w:ilvl w:val="0"/>
          <w:numId w:val="1"/>
        </w:numPr>
        <w:spacing w:after="60" w:line="245"/>
      </w:pPr>
      <w:r>
        <w:rPr>
          <w:rFonts w:ascii="Calibri" w:cs="Calibri" w:eastAsia="Calibri" w:hAnsi="Calibri"/>
          <w:sz w:val="17"/>
          <w:szCs w:val="17"/>
        </w:rPr>
        <w:t xml:space="preserve">Confirm the safety shower and eyewash nearest the point are within reach and proven flowing.</w:t>
      </w:r>
    </w:p>
    <w:p>
      <w:pPr>
        <w:pStyle w:val="ListParagraph"/>
        <w:numPr>
          <w:ilvl w:val="0"/>
          <w:numId w:val="1"/>
        </w:numPr>
        <w:spacing w:after="60" w:line="245"/>
      </w:pPr>
      <w:r>
        <w:rPr>
          <w:rFonts w:ascii="Calibri" w:cs="Calibri" w:eastAsia="Calibri" w:hAnsi="Calibri"/>
          <w:sz w:val="17"/>
          <w:szCs w:val="17"/>
        </w:rPr>
        <w:t xml:space="preserve">Label every container BEFORE sampling - point, date, time and shift.</w:t>
      </w:r>
    </w:p>
    <w:p>
      <w:pPr>
        <w:pStyle w:val="ListParagraph"/>
        <w:numPr>
          <w:ilvl w:val="0"/>
          <w:numId w:val="1"/>
        </w:numPr>
        <w:spacing w:after="60" w:line="245"/>
      </w:pPr>
      <w:r>
        <w:rPr>
          <w:rFonts w:ascii="Calibri" w:cs="Calibri" w:eastAsia="Calibri" w:hAnsi="Calibri"/>
          <w:sz w:val="17"/>
          <w:szCs w:val="17"/>
        </w:rPr>
        <w:t xml:space="preserve">Rinse the container, cutter or sieve with process water and then with the stream being sampled. Discard the rinse.</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Sample scoop or cutter</w:t>
      </w:r>
    </w:p>
    <w:p>
      <w:pPr>
        <w:pStyle w:val="ListParagraph"/>
        <w:numPr>
          <w:ilvl w:val="0"/>
          <w:numId w:val="1"/>
        </w:numPr>
        <w:spacing w:after="60" w:line="245"/>
      </w:pPr>
      <w:r>
        <w:rPr>
          <w:rFonts w:ascii="Calibri" w:cs="Calibri" w:eastAsia="Calibri" w:hAnsi="Calibri"/>
          <w:sz w:val="17"/>
          <w:szCs w:val="17"/>
        </w:rPr>
        <w:t xml:space="preserve">1 mm sieve</w:t>
      </w:r>
    </w:p>
    <w:p>
      <w:pPr>
        <w:pStyle w:val="ListParagraph"/>
        <w:numPr>
          <w:ilvl w:val="0"/>
          <w:numId w:val="1"/>
        </w:numPr>
        <w:spacing w:after="60" w:line="245"/>
      </w:pPr>
      <w:r>
        <w:rPr>
          <w:rFonts w:ascii="Calibri" w:cs="Calibri" w:eastAsia="Calibri" w:hAnsi="Calibri"/>
          <w:sz w:val="17"/>
          <w:szCs w:val="17"/>
        </w:rPr>
        <w:t xml:space="preserve">Sample bags or bottles, labelled</w:t>
      </w:r>
    </w:p>
    <w:p>
      <w:pPr>
        <w:pStyle w:val="ListParagraph"/>
        <w:numPr>
          <w:ilvl w:val="0"/>
          <w:numId w:val="1"/>
        </w:numPr>
        <w:spacing w:after="60" w:line="245"/>
      </w:pPr>
      <w:r>
        <w:rPr>
          <w:rFonts w:ascii="Calibri" w:cs="Calibri" w:eastAsia="Calibri" w:hAnsi="Calibri"/>
          <w:sz w:val="17"/>
          <w:szCs w:val="17"/>
        </w:rPr>
        <w:t xml:space="preserve">Process water hose</w:t>
      </w:r>
    </w:p>
    <w:p>
      <w:pPr>
        <w:pStyle w:val="ListParagraph"/>
        <w:numPr>
          <w:ilvl w:val="0"/>
          <w:numId w:val="1"/>
        </w:numPr>
        <w:spacing w:after="60" w:line="245"/>
      </w:pPr>
      <w:r>
        <w:rPr>
          <w:rFonts w:ascii="Calibri" w:cs="Calibri" w:eastAsia="Calibri" w:hAnsi="Calibri"/>
          <w:sz w:val="17"/>
          <w:szCs w:val="17"/>
        </w:rPr>
        <w:t xml:space="preserve">Drying tray</w:t>
      </w:r>
    </w:p>
    <w:p>
      <w:pPr>
        <w:pStyle w:val="ListParagraph"/>
        <w:numPr>
          <w:ilvl w:val="0"/>
          <w:numId w:val="1"/>
        </w:numPr>
        <w:spacing w:after="60" w:line="245"/>
      </w:pPr>
      <w:r>
        <w:rPr>
          <w:rFonts w:ascii="Calibri" w:cs="Calibri" w:eastAsia="Calibri" w:hAnsi="Calibri"/>
          <w:sz w:val="17"/>
          <w:szCs w:val="17"/>
        </w:rPr>
        <w:t xml:space="preserve">Personal protective equipment as Section 5</w:t>
      </w:r>
    </w:p>
    <w:p>
      <w:pPr>
        <w:pStyle w:val="Heading1"/>
        <w:spacing w:after="120" w:before="260"/>
      </w:pPr>
      <w:r>
        <w:rPr>
          <w:rFonts w:ascii="Calibri" w:cs="Calibri" w:eastAsia="Calibri" w:hAnsi="Calibri"/>
          <w:b/>
          <w:bCs/>
          <w:color w:val="1F3864"/>
          <w:sz w:val="24"/>
          <w:szCs w:val="24"/>
        </w:rPr>
        <w:t xml:space="preserve">6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Confirm with the control room that a carbon transfer is in progress or about to start.</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Take the sample from the screen oversize stream, not from the launder, so it represents the carbon actually being transferred.</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Cut the full stream where the arrangement allows it. A part-stream cut biases the result.</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Wash the carbon free of slurry over the 1 mm sieve.</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Bag and label the sample and submit it to the laboratory for gold loading.</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Record the transfer batch number, tonnage and time against the sample.</w:t>
      </w:r>
    </w:p>
    <w:p>
      <w:pPr>
        <w:pStyle w:val="Heading1"/>
        <w:spacing w:after="120" w:before="260"/>
      </w:pPr>
      <w:r>
        <w:rPr>
          <w:rFonts w:ascii="Calibri" w:cs="Calibri" w:eastAsia="Calibri" w:hAnsi="Calibri"/>
          <w:b/>
          <w:bCs/>
          <w:color w:val="1F3864"/>
          <w:sz w:val="24"/>
          <w:szCs w:val="24"/>
        </w:rPr>
        <w:t xml:space="preserve">7  ON COMPLETION</w:t>
      </w:r>
    </w:p>
    <w:p>
      <w:pPr>
        <w:pStyle w:val="ListParagraph"/>
        <w:numPr>
          <w:ilvl w:val="0"/>
          <w:numId w:val="1"/>
        </w:numPr>
        <w:spacing w:after="60" w:line="245"/>
      </w:pPr>
      <w:r>
        <w:rPr>
          <w:rFonts w:ascii="Calibri" w:cs="Calibri" w:eastAsia="Calibri" w:hAnsi="Calibri"/>
          <w:sz w:val="17"/>
          <w:szCs w:val="17"/>
        </w:rPr>
        <w:t xml:space="preserve">Close the sample valve or stop the sample pump and confirm the point is not weeping.</w:t>
      </w:r>
    </w:p>
    <w:p>
      <w:pPr>
        <w:pStyle w:val="ListParagraph"/>
        <w:numPr>
          <w:ilvl w:val="0"/>
          <w:numId w:val="1"/>
        </w:numPr>
        <w:spacing w:after="60" w:line="245"/>
      </w:pPr>
      <w:r>
        <w:rPr>
          <w:rFonts w:ascii="Calibri" w:cs="Calibri" w:eastAsia="Calibri" w:hAnsi="Calibri"/>
          <w:sz w:val="17"/>
          <w:szCs w:val="17"/>
        </w:rPr>
        <w:t xml:space="preserve">Wash down the point and the surrounding walkway. Leave nothing on the grating.</w:t>
      </w:r>
    </w:p>
    <w:p>
      <w:pPr>
        <w:pStyle w:val="ListParagraph"/>
        <w:numPr>
          <w:ilvl w:val="0"/>
          <w:numId w:val="1"/>
        </w:numPr>
        <w:spacing w:after="60" w:line="245"/>
      </w:pPr>
      <w:r>
        <w:rPr>
          <w:rFonts w:ascii="Calibri" w:cs="Calibri" w:eastAsia="Calibri" w:hAnsi="Calibri"/>
          <w:sz w:val="17"/>
          <w:szCs w:val="17"/>
        </w:rPr>
        <w:t xml:space="preserve">Record sampling time, operator name and the operating conditions read at the time - flow, density and any instrument value available.</w:t>
      </w:r>
    </w:p>
    <w:p>
      <w:pPr>
        <w:pStyle w:val="ListParagraph"/>
        <w:numPr>
          <w:ilvl w:val="0"/>
          <w:numId w:val="1"/>
        </w:numPr>
        <w:spacing w:after="60" w:line="245"/>
      </w:pPr>
      <w:r>
        <w:rPr>
          <w:rFonts w:ascii="Calibri" w:cs="Calibri" w:eastAsia="Calibri" w:hAnsi="Calibri"/>
          <w:sz w:val="17"/>
          <w:szCs w:val="17"/>
        </w:rPr>
        <w:t xml:space="preserve">Deliver the labelled samples to the laboratory or to the composite station as the schedule requires, and sign the handover.</w:t>
      </w:r>
    </w:p>
    <w:p>
      <w:pPr>
        <w:pStyle w:val="ListParagraph"/>
        <w:numPr>
          <w:ilvl w:val="0"/>
          <w:numId w:val="1"/>
        </w:numPr>
        <w:spacing w:after="60" w:line="245"/>
      </w:pPr>
      <w:r>
        <w:rPr>
          <w:rFonts w:ascii="Calibri" w:cs="Calibri" w:eastAsia="Calibri" w:hAnsi="Calibri"/>
          <w:sz w:val="17"/>
          <w:szCs w:val="17"/>
        </w:rPr>
        <w:t xml:space="preserve">Notify the control room that the round is complete.</w:t>
      </w:r>
    </w:p>
    <w:p>
      <w:pPr>
        <w:pStyle w:val="Heading1"/>
        <w:spacing w:after="120" w:before="260"/>
      </w:pPr>
      <w:r>
        <w:rPr>
          <w:rFonts w:ascii="Calibri" w:cs="Calibri" w:eastAsia="Calibri" w:hAnsi="Calibri"/>
          <w:b/>
          <w:bCs/>
          <w:color w:val="1F3864"/>
          <w:sz w:val="24"/>
          <w:szCs w:val="24"/>
        </w:rPr>
        <w:t xml:space="preserve">8  RECORDS</w:t>
      </w:r>
    </w:p>
    <w:p>
      <w:pPr>
        <w:pStyle w:val="ListParagraph"/>
        <w:numPr>
          <w:ilvl w:val="0"/>
          <w:numId w:val="1"/>
        </w:numPr>
        <w:spacing w:after="60" w:line="245"/>
      </w:pPr>
      <w:r>
        <w:rPr>
          <w:rFonts w:ascii="Calibri" w:cs="Calibri" w:eastAsia="Calibri" w:hAnsi="Calibri"/>
          <w:sz w:val="17"/>
          <w:szCs w:val="17"/>
        </w:rPr>
        <w:t xml:space="preserve">Field or bench data sheet - date, time, shift, operator, and every value determined.</w:t>
      </w:r>
    </w:p>
    <w:p>
      <w:pPr>
        <w:pStyle w:val="ListParagraph"/>
        <w:numPr>
          <w:ilvl w:val="0"/>
          <w:numId w:val="1"/>
        </w:numPr>
        <w:spacing w:after="60" w:line="245"/>
      </w:pPr>
      <w:r>
        <w:rPr>
          <w:rFonts w:ascii="Calibri" w:cs="Calibri" w:eastAsia="Calibri" w:hAnsi="Calibri"/>
          <w:sz w:val="17"/>
          <w:szCs w:val="17"/>
        </w:rPr>
        <w:t xml:space="preserve">Register or logbook entry and any handover signature.</w:t>
      </w:r>
    </w:p>
    <w:p>
      <w:pPr>
        <w:pStyle w:val="ListParagraph"/>
        <w:numPr>
          <w:ilvl w:val="0"/>
          <w:numId w:val="1"/>
        </w:numPr>
        <w:spacing w:after="60" w:line="245"/>
      </w:pPr>
      <w:r>
        <w:rPr>
          <w:rFonts w:ascii="Calibri" w:cs="Calibri" w:eastAsia="Calibri" w:hAnsi="Calibri"/>
          <w:sz w:val="17"/>
          <w:szCs w:val="17"/>
        </w:rPr>
        <w:t xml:space="preserve">Any step not completed, recorded with the reason.</w:t>
      </w:r>
    </w:p>
    <w:p>
      <w:pPr>
        <w:pStyle w:val="ListParagraph"/>
        <w:numPr>
          <w:ilvl w:val="0"/>
          <w:numId w:val="1"/>
        </w:numPr>
        <w:spacing w:after="60" w:line="245"/>
      </w:pPr>
      <w:r>
        <w:rPr>
          <w:rFonts w:ascii="Calibri" w:cs="Calibri" w:eastAsia="Calibri" w:hAnsi="Calibri"/>
          <w:sz w:val="17"/>
          <w:szCs w:val="17"/>
        </w:rPr>
        <w:t xml:space="preserve">Any control in Section 3 found not in place, reported to the Shift Supervisor and recorded.</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4034-PR-PRO-002 Sampling Protocol, CIL table item 3</w:t>
      </w:r>
    </w:p>
    <w:p>
      <w:pPr>
        <w:pStyle w:val="ListParagraph"/>
        <w:numPr>
          <w:ilvl w:val="0"/>
          <w:numId w:val="1"/>
        </w:numPr>
        <w:spacing w:after="60" w:line="245"/>
      </w:pPr>
      <w:r>
        <w:rPr>
          <w:rFonts w:ascii="Calibri" w:cs="Calibri" w:eastAsia="Calibri" w:hAnsi="Calibri"/>
          <w:sz w:val="17"/>
          <w:szCs w:val="17"/>
        </w:rPr>
        <w:t xml:space="preserve">4034-004-VE-025 Rev B Goldquip vibrating screen IOM, received 11 Aug 2026</w:t>
      </w:r>
    </w:p>
    <w:p>
      <w:pPr>
        <w:pStyle w:val="ListParagraph"/>
        <w:numPr>
          <w:ilvl w:val="0"/>
          <w:numId w:val="1"/>
        </w:numPr>
        <w:spacing w:after="60" w:line="245"/>
      </w:pPr>
      <w:r>
        <w:rPr>
          <w:rFonts w:ascii="Calibri" w:cs="Calibri" w:eastAsia="Calibri" w:hAnsi="Calibri"/>
          <w:sz w:val="17"/>
          <w:szCs w:val="17"/>
        </w:rPr>
        <w:t xml:space="preserve">HM-PRC-V01-PRO005 Carbon in Leach (CIL) Circuit</w:t>
      </w:r>
    </w:p>
    <w:sectPr>
      <w:headerReference w:type="default" r:id="rId7"/>
      <w:footerReference w:type="default" r:id="rId8"/>
      <w:pgSz w:w="11906" w:h="16838"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SWI-PRO-MET-201-006  ·  Loaded Carbon Sampling at Loaded Carbon Screen 032-SC-002  ·  Rev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