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Barren Carbon Sampling at Carbon Dewatering Screen 061-SC-013</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SWI-PRO-MET-201-007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JSEA-PRO-MET-201-007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061 Gold Elution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residual gold on barren carbon returning to the CIL circuit.</w:t>
      </w:r>
    </w:p>
    <w:p>
      <w:pPr>
        <w:spacing w:after="60" w:before="0" w:line="245"/>
      </w:pPr>
      <w:r>
        <w:rPr>
          <w:rFonts w:ascii="Calibri" w:cs="Calibri" w:eastAsia="Calibri" w:hAnsi="Calibri"/>
          <w:sz w:val="17"/>
          <w:szCs w:val="17"/>
        </w:rPr>
        <w:t xml:space="preserve">Barren loading is the direct measure of elution efficiency. A rising barren assay is the first sign the elution circuit is underperforming.</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061-SC-013</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Carbon dewatering screen - oversize</w:t>
            </w:r>
          </w:p>
        </w:tc>
      </w:tr>
    </w:tbl>
    <w:p>
      <w:pPr>
        <w:spacing w:after="60" w:before="0" w:line="245"/>
      </w:pPr>
    </w:p>
    <w:p>
      <w:pPr>
        <w:spacing w:after="60" w:before="0" w:line="245"/>
      </w:pPr>
      <w:r>
        <w:rPr>
          <w:rFonts w:ascii="Calibri" w:cs="Calibri" w:eastAsia="Calibri" w:hAnsi="Calibri"/>
          <w:sz w:val="17"/>
          <w:szCs w:val="17"/>
        </w:rPr>
        <w:t xml:space="preserve">Frequency: Every elution batch, on the barren carbon returning to CIL.</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SWI-PRO-MET-201-007 in HM-MMM-WHS-REG-XXX-R00-SWI-SWMS, tab SWI-MET. The matching hazard analysis is JSEA-PRO-MET-201-007.</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JSEA-PRO-MET-201-007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hot solution or hot surface at the elution, stripping or regeneration circuits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circuit is not on a heating cycle before sampling. Heat-resistant gloves and face shield. Allow the sample line to flush and cool before collecting. Do not sample a column under pressure.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JSEA-PRO-MET-201-007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Face shield</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scoop or cutter</w:t>
      </w:r>
    </w:p>
    <w:p>
      <w:pPr>
        <w:pStyle w:val="ListParagraph"/>
        <w:numPr>
          <w:ilvl w:val="0"/>
          <w:numId w:val="1"/>
        </w:numPr>
        <w:spacing w:after="60" w:line="245"/>
      </w:pPr>
      <w:r>
        <w:rPr>
          <w:rFonts w:ascii="Calibri" w:cs="Calibri" w:eastAsia="Calibri" w:hAnsi="Calibri"/>
          <w:sz w:val="17"/>
          <w:szCs w:val="17"/>
        </w:rPr>
        <w:t xml:space="preserve">1 mm sieve</w:t>
      </w:r>
    </w:p>
    <w:p>
      <w:pPr>
        <w:pStyle w:val="ListParagraph"/>
        <w:numPr>
          <w:ilvl w:val="0"/>
          <w:numId w:val="1"/>
        </w:numPr>
        <w:spacing w:after="60" w:line="245"/>
      </w:pPr>
      <w:r>
        <w:rPr>
          <w:rFonts w:ascii="Calibri" w:cs="Calibri" w:eastAsia="Calibri" w:hAnsi="Calibri"/>
          <w:sz w:val="17"/>
          <w:szCs w:val="17"/>
        </w:rPr>
        <w:t xml:space="preserve">Sample bags, labelled</w:t>
      </w:r>
    </w:p>
    <w:p>
      <w:pPr>
        <w:pStyle w:val="ListParagraph"/>
        <w:numPr>
          <w:ilvl w:val="0"/>
          <w:numId w:val="1"/>
        </w:numPr>
        <w:spacing w:after="60" w:line="245"/>
      </w:pPr>
      <w:r>
        <w:rPr>
          <w:rFonts w:ascii="Calibri" w:cs="Calibri" w:eastAsia="Calibri" w:hAnsi="Calibri"/>
          <w:sz w:val="17"/>
          <w:szCs w:val="17"/>
        </w:rPr>
        <w:t xml:space="preserve">Process water hose</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elution batch has finished and the carbon is being returned.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the screen oversize as the carbon discharges, taking increments across the whole discharge period rather than one grab at the start.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Wash free of solution over the 1 mm sieve.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Bag, label with the elution batch number, and submit to the laboratory.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the elution batch number, strip conditions and time against the sample.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CIL table item 4</w:t>
      </w:r>
    </w:p>
    <w:p>
      <w:pPr>
        <w:pStyle w:val="ListParagraph"/>
        <w:numPr>
          <w:ilvl w:val="0"/>
          <w:numId w:val="1"/>
        </w:numPr>
        <w:spacing w:after="60" w:line="245"/>
      </w:pPr>
      <w:r>
        <w:rPr>
          <w:rFonts w:ascii="Calibri" w:cs="Calibri" w:eastAsia="Calibri" w:hAnsi="Calibri"/>
          <w:sz w:val="17"/>
          <w:szCs w:val="17"/>
        </w:rPr>
        <w:t xml:space="preserve">4034-013-VE-028 Rev A Applied Heat Thermomat 2300 O&amp;M manual, received 11 Aug 2026</w:t>
      </w:r>
    </w:p>
    <w:p>
      <w:pPr>
        <w:pStyle w:val="ListParagraph"/>
        <w:numPr>
          <w:ilvl w:val="0"/>
          <w:numId w:val="1"/>
        </w:numPr>
        <w:spacing w:after="60" w:line="245"/>
      </w:pPr>
      <w:r>
        <w:rPr>
          <w:rFonts w:ascii="Calibri" w:cs="Calibri" w:eastAsia="Calibri" w:hAnsi="Calibri"/>
          <w:sz w:val="17"/>
          <w:szCs w:val="17"/>
        </w:rPr>
        <w:t xml:space="preserve">HM-PRC-V01-PRO012 Carbon Regeneration and Kiln Operation</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SWI-PRO-MET-201-007  ·  Barren Carbon Sampling at Carbon Dewatering Screen 061-SC-013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