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Cyanide Adsorption Sampling Round - 051-TK-009 and 051-TK-010 (ReCYN)</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SWI-PRO-MET-201-010</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JSEA-PRO-MET-201-010</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051 Cyanide Adsorption</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HM-PRC-VXX-PRO205  Plant Sampling and Metallurgical Data Collection</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Safety-critical</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Set the free and WAD cyanide profile across the cyanide adsorption train.</w:t>
      </w:r>
    </w:p>
    <w:p>
      <w:pPr>
        <w:spacing w:after="60" w:before="0" w:line="245"/>
      </w:pPr>
      <w:r>
        <w:rPr>
          <w:rFonts w:ascii="Calibri" w:cs="Calibri" w:eastAsia="Calibri" w:hAnsi="Calibri"/>
          <w:sz w:val="17"/>
          <w:szCs w:val="17"/>
        </w:rPr>
        <w:t xml:space="preserve">Cyanide recovery here is the whole point of the ReCYN circuit - this profile is the measure of whether it is working.</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051-TK-009</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Cyanide adsorption tank 1</w:t>
            </w:r>
          </w:p>
        </w:tc>
      </w:tr>
      <w:tr>
        <w:tc>
          <w:tcPr>
            <w:tcW w:type="dxa" w:w="26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051-TK-010</w:t>
            </w:r>
          </w:p>
        </w:tc>
        <w:tc>
          <w:tcPr>
            <w:tcW w:type="dxa" w:w="64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Cyanide adsorption tank 2</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051-SC-005 / 051-SC-006 / 051-SC-020</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Adsorption screens</w:t>
            </w:r>
          </w:p>
        </w:tc>
      </w:tr>
    </w:tbl>
    <w:p>
      <w:pPr>
        <w:spacing w:after="60" w:before="0" w:line="245"/>
      </w:pPr>
    </w:p>
    <w:p>
      <w:pPr>
        <w:spacing w:after="60" w:before="0" w:line="245"/>
      </w:pPr>
      <w:r>
        <w:rPr>
          <w:rFonts w:ascii="Calibri" w:cs="Calibri" w:eastAsia="Calibri" w:hAnsi="Calibri"/>
          <w:sz w:val="17"/>
          <w:szCs w:val="17"/>
        </w:rPr>
        <w:t xml:space="preserve">Frequency: Once per shift on each tank; hourly during commissioning and after any upset.</w:t>
      </w:r>
    </w:p>
    <w:p>
      <w:pPr>
        <w:spacing w:after="60" w:before="0" w:line="245"/>
      </w:pPr>
      <w:r>
        <w:rPr>
          <w:rFonts w:ascii="Calibri" w:cs="Calibri" w:eastAsia="Calibri" w:hAnsi="Calibri"/>
          <w:sz w:val="17"/>
          <w:szCs w:val="17"/>
        </w:rPr>
        <w:t xml:space="preserve">This instruction sits under Standard Work Procedure HM-PRC-VXX-PRO205 - Plant Sampling and Metallurgical Data Collection. Read that procedure before carrying out this task for the first time.</w:t>
      </w:r>
    </w:p>
    <w:p>
      <w:pPr>
        <w:spacing w:after="60" w:before="0" w:line="245"/>
      </w:pPr>
      <w:r>
        <w:rPr>
          <w:rFonts w:ascii="Calibri" w:cs="Calibri" w:eastAsia="Calibri" w:hAnsi="Calibri"/>
          <w:sz w:val="17"/>
          <w:szCs w:val="17"/>
        </w:rPr>
        <w:t xml:space="preserve">Register line: SWI-PRO-MET-201-010 in HM-MMM-WHS-REG-XXX-R00-SWI-SWMS, tab SWI-MET. The matching hazard analysis is JSEA-PRO-MET-201-010.</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JSEA-PRO-MET-201-010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spacing w:after="60" w:before="0" w:line="245"/>
      </w:pPr>
      <w:r>
        <w:rPr>
          <w:rFonts w:ascii="Calibri" w:cs="Calibri" w:eastAsia="Calibri" w:hAnsi="Calibri"/>
          <w:b/>
          <w:bCs/>
          <w:sz w:val="17"/>
          <w:szCs w:val="17"/>
        </w:rPr>
        <w:t xml:space="preserve">This is a safety-critical task. It is not carried out alone in a cyanide area, and not without the Shift Supervisor knowing it is in progress.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Splash of cyanide-bearing slurry or solution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Fall from a tank top, launder platform, column platform or access ladder</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Contact with an agitator, sample cutter, pump or screen that starts without warning</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Much of the plant is automated and equipment can start or stop without warning. Guards confirmed in place before approaching. Control room notified before the round starts and again on completion. Isolation and lock-out before any guard or cutter housing is opened.</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Slip, trip or fall on wet or slurry-covered walkways around sample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Spillage cleaned up immediately and the point left clean. Walkways kept clear of hoses, buckets and containers. Safety boots with sound tread. Report any damaged or missing grating before use.</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Manual handling injury from carrying sample buckets, containers and composite drums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Sample volume kept to the schedule - no over-filling. Two-person lift or a trolley for composite containers above the site manual handling limit. Route cleared before lifting.</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Working alone in a cyanide area where a collapse would not be seen</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Cyanide-area sampling is not done alone. Control room notified at the start and end of every round. Radio check-in at the interval set by the Shift Supervisor.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JSEA-PRO-MET-201-010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Harness and fall arrest where no fixed platform exists</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plant is in steady-state operation - normal operation for a minimum of 15 to 20 minutes before sampling. A sample taken during a swing is not representative.</w:t>
      </w:r>
    </w:p>
    <w:p>
      <w:pPr>
        <w:pStyle w:val="ListParagraph"/>
        <w:numPr>
          <w:ilvl w:val="0"/>
          <w:numId w:val="1"/>
        </w:numPr>
        <w:spacing w:after="60" w:line="245"/>
      </w:pPr>
      <w:r>
        <w:rPr>
          <w:rFonts w:ascii="Calibri" w:cs="Calibri" w:eastAsia="Calibri" w:hAnsi="Calibri"/>
          <w:sz w:val="17"/>
          <w:szCs w:val="17"/>
        </w:rPr>
        <w:t xml:space="preserve">Notify the control room or DCS operator that the sampling round is starting, and which points it covers.</w:t>
      </w:r>
    </w:p>
    <w:p>
      <w:pPr>
        <w:pStyle w:val="ListParagraph"/>
        <w:numPr>
          <w:ilvl w:val="0"/>
          <w:numId w:val="1"/>
        </w:numPr>
        <w:spacing w:after="60" w:line="245"/>
      </w:pPr>
      <w:r>
        <w:rPr>
          <w:rFonts w:ascii="Calibri" w:cs="Calibri" w:eastAsia="Calibri" w:hAnsi="Calibri"/>
          <w:sz w:val="17"/>
          <w:szCs w:val="17"/>
        </w:rPr>
        <w:t xml:space="preserve">Confirm the personal gas monitor is on, in calibration date and reading clean, and that fixed detection in the area is healthy.</w:t>
      </w:r>
    </w:p>
    <w:p>
      <w:pPr>
        <w:pStyle w:val="ListParagraph"/>
        <w:numPr>
          <w:ilvl w:val="0"/>
          <w:numId w:val="1"/>
        </w:numPr>
        <w:spacing w:after="60" w:line="245"/>
      </w:pPr>
      <w:r>
        <w:rPr>
          <w:rFonts w:ascii="Calibri" w:cs="Calibri" w:eastAsia="Calibri" w:hAnsi="Calibri"/>
          <w:sz w:val="17"/>
          <w:szCs w:val="17"/>
        </w:rPr>
        <w:t xml:space="preserve">Confirm the safety shower and eyewash nearest the point are within reach and proven flowing.</w:t>
      </w:r>
    </w:p>
    <w:p>
      <w:pPr>
        <w:pStyle w:val="ListParagraph"/>
        <w:numPr>
          <w:ilvl w:val="0"/>
          <w:numId w:val="1"/>
        </w:numPr>
        <w:spacing w:after="60" w:line="245"/>
      </w:pPr>
      <w:r>
        <w:rPr>
          <w:rFonts w:ascii="Calibri" w:cs="Calibri" w:eastAsia="Calibri" w:hAnsi="Calibri"/>
          <w:sz w:val="17"/>
          <w:szCs w:val="17"/>
        </w:rPr>
        <w:t xml:space="preserve">Label every container BEFORE sampling - point, date, time and shift.</w:t>
      </w:r>
    </w:p>
    <w:p>
      <w:pPr>
        <w:pStyle w:val="ListParagraph"/>
        <w:numPr>
          <w:ilvl w:val="0"/>
          <w:numId w:val="1"/>
        </w:numPr>
        <w:spacing w:after="60" w:line="245"/>
      </w:pPr>
      <w:r>
        <w:rPr>
          <w:rFonts w:ascii="Calibri" w:cs="Calibri" w:eastAsia="Calibri" w:hAnsi="Calibri"/>
          <w:sz w:val="17"/>
          <w:szCs w:val="17"/>
        </w:rPr>
        <w:t xml:space="preserve">Rinse the container, cutter or sieve with process water and then with the stream being sampled. Discard the rinse.</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Sampling bucket 5 to 8 L</w:t>
      </w:r>
    </w:p>
    <w:p>
      <w:pPr>
        <w:pStyle w:val="ListParagraph"/>
        <w:numPr>
          <w:ilvl w:val="0"/>
          <w:numId w:val="1"/>
        </w:numPr>
        <w:spacing w:after="60" w:line="245"/>
      </w:pPr>
      <w:r>
        <w:rPr>
          <w:rFonts w:ascii="Calibri" w:cs="Calibri" w:eastAsia="Calibri" w:hAnsi="Calibri"/>
          <w:sz w:val="17"/>
          <w:szCs w:val="17"/>
        </w:rPr>
        <w:t xml:space="preserve">pH meter</w:t>
      </w:r>
    </w:p>
    <w:p>
      <w:pPr>
        <w:pStyle w:val="ListParagraph"/>
        <w:numPr>
          <w:ilvl w:val="0"/>
          <w:numId w:val="1"/>
        </w:numPr>
        <w:spacing w:after="60" w:line="245"/>
      </w:pPr>
      <w:r>
        <w:rPr>
          <w:rFonts w:ascii="Calibri" w:cs="Calibri" w:eastAsia="Calibri" w:hAnsi="Calibri"/>
          <w:sz w:val="17"/>
          <w:szCs w:val="17"/>
        </w:rPr>
        <w:t xml:space="preserve">Free cyanide titration kit and rhodanine indicator</w:t>
      </w:r>
    </w:p>
    <w:p>
      <w:pPr>
        <w:pStyle w:val="ListParagraph"/>
        <w:numPr>
          <w:ilvl w:val="0"/>
          <w:numId w:val="1"/>
        </w:numPr>
        <w:spacing w:after="60" w:line="245"/>
      </w:pPr>
      <w:r>
        <w:rPr>
          <w:rFonts w:ascii="Calibri" w:cs="Calibri" w:eastAsia="Calibri" w:hAnsi="Calibri"/>
          <w:sz w:val="17"/>
          <w:szCs w:val="17"/>
        </w:rPr>
        <w:t xml:space="preserve">Burette, pipette, conical flask, stand and wash bottle</w:t>
      </w:r>
    </w:p>
    <w:p>
      <w:pPr>
        <w:pStyle w:val="ListParagraph"/>
        <w:numPr>
          <w:ilvl w:val="0"/>
          <w:numId w:val="1"/>
        </w:numPr>
        <w:spacing w:after="60" w:line="245"/>
      </w:pPr>
      <w:r>
        <w:rPr>
          <w:rFonts w:ascii="Calibri" w:cs="Calibri" w:eastAsia="Calibri" w:hAnsi="Calibri"/>
          <w:sz w:val="17"/>
          <w:szCs w:val="17"/>
        </w:rPr>
        <w:t xml:space="preserve">Filter press and filter paper</w:t>
      </w:r>
    </w:p>
    <w:p>
      <w:pPr>
        <w:pStyle w:val="ListParagraph"/>
        <w:numPr>
          <w:ilvl w:val="0"/>
          <w:numId w:val="1"/>
        </w:numPr>
        <w:spacing w:after="60" w:line="245"/>
      </w:pPr>
      <w:r>
        <w:rPr>
          <w:rFonts w:ascii="Calibri" w:cs="Calibri" w:eastAsia="Calibri" w:hAnsi="Calibri"/>
          <w:sz w:val="17"/>
          <w:szCs w:val="17"/>
        </w:rPr>
        <w:t xml:space="preserve">Bottles 250 mL</w:t>
      </w:r>
    </w:p>
    <w:p>
      <w:pPr>
        <w:pStyle w:val="ListParagraph"/>
        <w:numPr>
          <w:ilvl w:val="0"/>
          <w:numId w:val="1"/>
        </w:numPr>
        <w:spacing w:after="60" w:line="245"/>
      </w:pPr>
      <w:r>
        <w:rPr>
          <w:rFonts w:ascii="Calibri" w:cs="Calibri" w:eastAsia="Calibri" w:hAnsi="Calibri"/>
          <w:sz w:val="17"/>
          <w:szCs w:val="17"/>
        </w:rPr>
        <w:t xml:space="preserve">0.9 mm sieve for resin check</w:t>
      </w:r>
    </w:p>
    <w:p>
      <w:pPr>
        <w:pStyle w:val="ListParagraph"/>
        <w:numPr>
          <w:ilvl w:val="0"/>
          <w:numId w:val="1"/>
        </w:numPr>
        <w:spacing w:after="60" w:line="245"/>
      </w:pPr>
      <w:r>
        <w:rPr>
          <w:rFonts w:ascii="Calibri" w:cs="Calibri" w:eastAsia="Calibri" w:hAnsi="Calibri"/>
          <w:sz w:val="17"/>
          <w:szCs w:val="17"/>
        </w:rPr>
        <w:t xml:space="preserve">Personal protective equipment as Section 5</w:t>
      </w:r>
    </w:p>
    <w:p>
      <w:pPr>
        <w:pStyle w:val="Heading1"/>
        <w:spacing w:after="120" w:before="260"/>
      </w:pPr>
      <w:r>
        <w:rPr>
          <w:rFonts w:ascii="Calibri" w:cs="Calibri" w:eastAsia="Calibri" w:hAnsi="Calibri"/>
          <w:b/>
          <w:bCs/>
          <w:color w:val="1F3864"/>
          <w:sz w:val="24"/>
          <w:szCs w:val="24"/>
        </w:rPr>
        <w:t xml:space="preserve">6  STEPS</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Work tank 1 then tank 2 in sequence.</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Flush each point and discard the first flow.</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Check the sample for resin beads over the 0.9 mm sieve and report any carry-over.</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Determine pH and free cyanide in the field.</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Filter and bottle for WAD cyanide and metal assay.</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Record both tanks on one profile sheet against the reading from the online cyanide analyser.</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Close the sample valve or stop the sample pump and confirm the point is not weeping.</w:t>
      </w:r>
    </w:p>
    <w:p>
      <w:pPr>
        <w:pStyle w:val="ListParagraph"/>
        <w:numPr>
          <w:ilvl w:val="0"/>
          <w:numId w:val="1"/>
        </w:numPr>
        <w:spacing w:after="60" w:line="245"/>
      </w:pPr>
      <w:r>
        <w:rPr>
          <w:rFonts w:ascii="Calibri" w:cs="Calibri" w:eastAsia="Calibri" w:hAnsi="Calibri"/>
          <w:sz w:val="17"/>
          <w:szCs w:val="17"/>
        </w:rPr>
        <w:t xml:space="preserve">Wash down the point and the surrounding walkway. Leave nothing on the grating.</w:t>
      </w:r>
    </w:p>
    <w:p>
      <w:pPr>
        <w:pStyle w:val="ListParagraph"/>
        <w:numPr>
          <w:ilvl w:val="0"/>
          <w:numId w:val="1"/>
        </w:numPr>
        <w:spacing w:after="60" w:line="245"/>
      </w:pPr>
      <w:r>
        <w:rPr>
          <w:rFonts w:ascii="Calibri" w:cs="Calibri" w:eastAsia="Calibri" w:hAnsi="Calibri"/>
          <w:sz w:val="17"/>
          <w:szCs w:val="17"/>
        </w:rPr>
        <w:t xml:space="preserve">Record sampling time, operator name and the operating conditions read at the time - flow, density and any instrument value available.</w:t>
      </w:r>
    </w:p>
    <w:p>
      <w:pPr>
        <w:pStyle w:val="ListParagraph"/>
        <w:numPr>
          <w:ilvl w:val="0"/>
          <w:numId w:val="1"/>
        </w:numPr>
        <w:spacing w:after="60" w:line="245"/>
      </w:pPr>
      <w:r>
        <w:rPr>
          <w:rFonts w:ascii="Calibri" w:cs="Calibri" w:eastAsia="Calibri" w:hAnsi="Calibri"/>
          <w:sz w:val="17"/>
          <w:szCs w:val="17"/>
        </w:rPr>
        <w:t xml:space="preserve">Deliver the labelled samples to the laboratory or to the composite station as the schedule requires, and sign the handover.</w:t>
      </w:r>
    </w:p>
    <w:p>
      <w:pPr>
        <w:pStyle w:val="ListParagraph"/>
        <w:numPr>
          <w:ilvl w:val="0"/>
          <w:numId w:val="1"/>
        </w:numPr>
        <w:spacing w:after="60" w:line="245"/>
      </w:pPr>
      <w:r>
        <w:rPr>
          <w:rFonts w:ascii="Calibri" w:cs="Calibri" w:eastAsia="Calibri" w:hAnsi="Calibri"/>
          <w:sz w:val="17"/>
          <w:szCs w:val="17"/>
        </w:rPr>
        <w:t xml:space="preserve">Notify the control room that the round is complete.</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Mt. Morgan site procedure 14. Cyanide Adsorption 1 &amp; 2 Tank Sampling [LIVE]</w:t>
      </w:r>
    </w:p>
    <w:p>
      <w:pPr>
        <w:pStyle w:val="ListParagraph"/>
        <w:numPr>
          <w:ilvl w:val="0"/>
          <w:numId w:val="1"/>
        </w:numPr>
        <w:spacing w:after="60" w:line="245"/>
      </w:pPr>
      <w:r>
        <w:rPr>
          <w:rFonts w:ascii="Calibri" w:cs="Calibri" w:eastAsia="Calibri" w:hAnsi="Calibri"/>
          <w:sz w:val="17"/>
          <w:szCs w:val="17"/>
        </w:rPr>
        <w:t xml:space="preserve">KBK-MIR-MP-PRO-MET-SOP-0049, received 11 Aug 2026</w:t>
      </w:r>
    </w:p>
    <w:p>
      <w:pPr>
        <w:pStyle w:val="ListParagraph"/>
        <w:numPr>
          <w:ilvl w:val="0"/>
          <w:numId w:val="1"/>
        </w:numPr>
        <w:spacing w:after="60" w:line="245"/>
      </w:pPr>
      <w:r>
        <w:rPr>
          <w:rFonts w:ascii="Calibri" w:cs="Calibri" w:eastAsia="Calibri" w:hAnsi="Calibri"/>
          <w:sz w:val="17"/>
          <w:szCs w:val="17"/>
        </w:rPr>
        <w:t xml:space="preserve">KBK SOP-PROC-CNREC-01 and CNREC-12 Fresh resin conditioning, received 11 Aug 2026</w:t>
      </w:r>
    </w:p>
    <w:p>
      <w:pPr>
        <w:pStyle w:val="ListParagraph"/>
        <w:numPr>
          <w:ilvl w:val="0"/>
          <w:numId w:val="1"/>
        </w:numPr>
        <w:spacing w:after="60" w:line="245"/>
      </w:pPr>
      <w:r>
        <w:rPr>
          <w:rFonts w:ascii="Calibri" w:cs="Calibri" w:eastAsia="Calibri" w:hAnsi="Calibri"/>
          <w:sz w:val="17"/>
          <w:szCs w:val="17"/>
        </w:rPr>
        <w:t xml:space="preserve">4034-004-VE-025 Rev B Goldquip vibrating screen IOM (051-SC-005/006/020), received 11 Aug 2026</w:t>
      </w:r>
    </w:p>
    <w:p>
      <w:pPr>
        <w:pStyle w:val="ListParagraph"/>
        <w:numPr>
          <w:ilvl w:val="0"/>
          <w:numId w:val="1"/>
        </w:numPr>
        <w:spacing w:after="60" w:line="245"/>
      </w:pPr>
      <w:r>
        <w:rPr>
          <w:rFonts w:ascii="Calibri" w:cs="Calibri" w:eastAsia="Calibri" w:hAnsi="Calibri"/>
          <w:sz w:val="17"/>
          <w:szCs w:val="17"/>
        </w:rPr>
        <w:t xml:space="preserve">HM-PRC-V01-PRO007 Cyanide Adsorption Circuit (ReCYN) and Resin Transfer</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SWI-PRO-MET-201-010  ·  Cyanide Adsorption Sampling Round - 051-TK-009 and 051-TK-010 (ReCYN)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