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Concentration Measurement in Adsorption Tanks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JSEA-PRO-MET-201-011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041 / 051 Adsorption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resin concentration in each adsorption tank in millilitres of resin per litre of slurry, which is the control on resin inventory.</w:t>
      </w:r>
    </w:p>
    <w:p>
      <w:pPr>
        <w:spacing w:after="60" w:before="0" w:line="245"/>
      </w:pPr>
      <w:r>
        <w:rPr>
          <w:rFonts w:ascii="Calibri" w:cs="Calibri" w:eastAsia="Calibri" w:hAnsi="Calibri"/>
          <w:sz w:val="17"/>
          <w:szCs w:val="17"/>
        </w:rPr>
        <w:t xml:space="preserve">Give early warning of resin loss, which is the single largest consumable risk on a ReCYN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041-TK-007 / 041-TK-008</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Metal adsorption tanks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051-TK-009 / 051-TK-010</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Cyanide adsorption tanks</w:t>
            </w:r>
          </w:p>
        </w:tc>
      </w:tr>
    </w:tbl>
    <w:p>
      <w:pPr>
        <w:spacing w:after="60" w:before="0" w:line="245"/>
      </w:pPr>
    </w:p>
    <w:p>
      <w:pPr>
        <w:spacing w:after="60" w:before="0" w:line="245"/>
      </w:pPr>
      <w:r>
        <w:rPr>
          <w:rFonts w:ascii="Calibri" w:cs="Calibri" w:eastAsia="Calibri" w:hAnsi="Calibri"/>
          <w:sz w:val="17"/>
          <w:szCs w:val="17"/>
        </w:rPr>
        <w:t xml:space="preserve">Frequency: Once per shift on every adsorption tank.</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SWI-PRO-MET-201-011 in HM-MMM-WHS-REG-XXX-R00-SWI-SWMS, tab SWI-MET. The matching hazard analysis is JSEA-PRO-MET-201-011.</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JSEA-PRO-MET-201-011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JSEA-PRO-MET-201-011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cutter</w:t>
      </w:r>
    </w:p>
    <w:p>
      <w:pPr>
        <w:pStyle w:val="ListParagraph"/>
        <w:numPr>
          <w:ilvl w:val="0"/>
          <w:numId w:val="1"/>
        </w:numPr>
        <w:spacing w:after="60" w:line="245"/>
      </w:pPr>
      <w:r>
        <w:rPr>
          <w:rFonts w:ascii="Calibri" w:cs="Calibri" w:eastAsia="Calibri" w:hAnsi="Calibri"/>
          <w:sz w:val="17"/>
          <w:szCs w:val="17"/>
        </w:rPr>
        <w:t xml:space="preserve">0.9 mm sieve</w:t>
      </w:r>
    </w:p>
    <w:p>
      <w:pPr>
        <w:pStyle w:val="ListParagraph"/>
        <w:numPr>
          <w:ilvl w:val="0"/>
          <w:numId w:val="1"/>
        </w:numPr>
        <w:spacing w:after="60" w:line="245"/>
      </w:pPr>
      <w:r>
        <w:rPr>
          <w:rFonts w:ascii="Calibri" w:cs="Calibri" w:eastAsia="Calibri" w:hAnsi="Calibri"/>
          <w:sz w:val="17"/>
          <w:szCs w:val="17"/>
        </w:rPr>
        <w:t xml:space="preserve">Measuring glass, graduated</w:t>
      </w:r>
    </w:p>
    <w:p>
      <w:pPr>
        <w:pStyle w:val="ListParagraph"/>
        <w:numPr>
          <w:ilvl w:val="0"/>
          <w:numId w:val="1"/>
        </w:numPr>
        <w:spacing w:after="60" w:line="245"/>
      </w:pPr>
      <w:r>
        <w:rPr>
          <w:rFonts w:ascii="Calibri" w:cs="Calibri" w:eastAsia="Calibri" w:hAnsi="Calibri"/>
          <w:sz w:val="17"/>
          <w:szCs w:val="17"/>
        </w:rPr>
        <w:t xml:space="preserve">1 litre measuring container</w:t>
      </w:r>
    </w:p>
    <w:p>
      <w:pPr>
        <w:pStyle w:val="ListParagraph"/>
        <w:numPr>
          <w:ilvl w:val="0"/>
          <w:numId w:val="1"/>
        </w:numPr>
        <w:spacing w:after="60" w:line="245"/>
      </w:pPr>
      <w:r>
        <w:rPr>
          <w:rFonts w:ascii="Calibri" w:cs="Calibri" w:eastAsia="Calibri" w:hAnsi="Calibri"/>
          <w:sz w:val="17"/>
          <w:szCs w:val="17"/>
        </w:rPr>
        <w:t xml:space="preserve">Process water hose</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steady-state operation and notify the control room.</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Flush the cutter, sieve and container with process water so no resin carries over from the previous tank.</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Take a 1 litre sample with the sample cutter.</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Strain the resin from the slurry through the 0.9 mm sieve.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Wash the retained resin free of slurry.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Measure the drained resin volume in the graduated measuring glass and record it as millilitres per litre.</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Repeat for every adsorption tank, cleaning between each.</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profile and compare it against the resin inventory in the resin line schedule.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7. Resin Concentration Sampling [LIVE]</w:t>
      </w:r>
    </w:p>
    <w:p>
      <w:pPr>
        <w:pStyle w:val="ListParagraph"/>
        <w:numPr>
          <w:ilvl w:val="0"/>
          <w:numId w:val="1"/>
        </w:numPr>
        <w:spacing w:after="60" w:line="245"/>
      </w:pPr>
      <w:r>
        <w:rPr>
          <w:rFonts w:ascii="Calibri" w:cs="Calibri" w:eastAsia="Calibri" w:hAnsi="Calibri"/>
          <w:sz w:val="17"/>
          <w:szCs w:val="17"/>
        </w:rPr>
        <w:t xml:space="preserve">KBK-MIR-MP-PRO-MET-SOP-0058 Distribusi Ukuran Partikel Resin, received 11 Aug 2026</w:t>
      </w:r>
    </w:p>
    <w:p>
      <w:pPr>
        <w:pStyle w:val="ListParagraph"/>
        <w:numPr>
          <w:ilvl w:val="0"/>
          <w:numId w:val="1"/>
        </w:numPr>
        <w:spacing w:after="60" w:line="245"/>
      </w:pPr>
      <w:r>
        <w:rPr>
          <w:rFonts w:ascii="Calibri" w:cs="Calibri" w:eastAsia="Calibri" w:hAnsi="Calibri"/>
          <w:sz w:val="17"/>
          <w:szCs w:val="17"/>
        </w:rPr>
        <w:t xml:space="preserve">RA-01 Resin Loss Register Rev A and MM-4034-033-RES Resin Line Schedule (268 lines)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SWI-PRO-MET-201-011  ·  Resin Concentration Measurement in Adsorption Tanks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