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Loaded and Barren Resin Sampling at Screens and Hoppers</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041 / 051 / 071 / 081 Resin circuits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metal loading on resin leaving adsorption and the residual loading on resin returning from elution.</w:t>
      </w:r>
    </w:p>
    <w:p>
      <w:pPr>
        <w:spacing w:after="60" w:before="0" w:line="245"/>
      </w:pPr>
      <w:r>
        <w:rPr>
          <w:rFonts w:ascii="Calibri" w:cs="Calibri" w:eastAsia="Calibri" w:hAnsi="Calibri"/>
          <w:sz w:val="17"/>
          <w:szCs w:val="17"/>
        </w:rPr>
        <w:t xml:space="preserve">The loaded-to-barren pair is the direct measure of elution efficiency on the resin circuit.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041-SC-004 / 041-SC-016</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Metal adsorption resin recovery and safety screens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051-SC-005 / 051-SC-006 / 051-SC-020</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 resin screens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041-HP-017</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Metal loaded resin hopper</w:t>
            </w:r>
          </w:p>
        </w:tc>
      </w:tr>
    </w:tbl>
    <w:p>
      <w:pPr>
        <w:spacing w:after="60" w:before="0" w:line="245"/>
      </w:pPr>
    </w:p>
    <w:p>
      <w:pPr>
        <w:spacing w:after="60" w:before="0" w:line="245"/>
      </w:pPr>
      <w:r>
        <w:rPr>
          <w:rFonts w:ascii="Calibri" w:cs="Calibri" w:eastAsia="Calibri" w:hAnsi="Calibri"/>
          <w:sz w:val="17"/>
          <w:szCs w:val="17"/>
        </w:rPr>
        <w:t xml:space="preserve">Frequency: Every resin transfer, both directions.</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SWI-PRO-MET-201-012 in HM-MMM-WHS-REG-XXX-R00-SWI-SWMS, tab SWI-MET. The matching hazard analysis is JSEA-PRO-MET-201-012.</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JSEA-PRO-MET-201-012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JSEA-PRO-MET-201-012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scoop or cutter</w:t>
      </w:r>
    </w:p>
    <w:p>
      <w:pPr>
        <w:pStyle w:val="ListParagraph"/>
        <w:numPr>
          <w:ilvl w:val="0"/>
          <w:numId w:val="1"/>
        </w:numPr>
        <w:spacing w:after="60" w:line="245"/>
      </w:pPr>
      <w:r>
        <w:rPr>
          <w:rFonts w:ascii="Calibri" w:cs="Calibri" w:eastAsia="Calibri" w:hAnsi="Calibri"/>
          <w:sz w:val="17"/>
          <w:szCs w:val="17"/>
        </w:rPr>
        <w:t xml:space="preserve">0.9 mm sieve</w:t>
      </w:r>
    </w:p>
    <w:p>
      <w:pPr>
        <w:pStyle w:val="ListParagraph"/>
        <w:numPr>
          <w:ilvl w:val="0"/>
          <w:numId w:val="1"/>
        </w:numPr>
        <w:spacing w:after="60" w:line="245"/>
      </w:pPr>
      <w:r>
        <w:rPr>
          <w:rFonts w:ascii="Calibri" w:cs="Calibri" w:eastAsia="Calibri" w:hAnsi="Calibri"/>
          <w:sz w:val="17"/>
          <w:szCs w:val="17"/>
        </w:rPr>
        <w:t xml:space="preserve">Sample bottles, labelled</w:t>
      </w:r>
    </w:p>
    <w:p>
      <w:pPr>
        <w:pStyle w:val="ListParagraph"/>
        <w:numPr>
          <w:ilvl w:val="0"/>
          <w:numId w:val="1"/>
        </w:numPr>
        <w:spacing w:after="60" w:line="245"/>
      </w:pPr>
      <w:r>
        <w:rPr>
          <w:rFonts w:ascii="Calibri" w:cs="Calibri" w:eastAsia="Calibri" w:hAnsi="Calibri"/>
          <w:sz w:val="17"/>
          <w:szCs w:val="17"/>
        </w:rPr>
        <w:t xml:space="preserve">Process water hose</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that a resin transfer is in progress and which direction it is running.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the screen oversize as the resin discharges, taking increments across the whole transfer rather than one grab.</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Wash the resin free of slurry over the 0.9 mm sieve.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Bottle, label with the transfer number and direction, and submit to the laboratory.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transfer number, direction, volume and time against the sample.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9. Metal Elution Sampling [LIVE] - covers part of this task</w:t>
      </w:r>
    </w:p>
    <w:p>
      <w:pPr>
        <w:pStyle w:val="ListParagraph"/>
        <w:numPr>
          <w:ilvl w:val="0"/>
          <w:numId w:val="1"/>
        </w:numPr>
        <w:spacing w:after="60" w:line="245"/>
      </w:pPr>
      <w:r>
        <w:rPr>
          <w:rFonts w:ascii="Calibri" w:cs="Calibri" w:eastAsia="Calibri" w:hAnsi="Calibri"/>
          <w:sz w:val="17"/>
          <w:szCs w:val="17"/>
        </w:rPr>
        <w:t xml:space="preserve">KBK SOP-PROC-CNREC-01, -04, -06 and -07 resin transfer procedures, received 11 Aug 2026</w:t>
      </w:r>
    </w:p>
    <w:p>
      <w:pPr>
        <w:pStyle w:val="ListParagraph"/>
        <w:numPr>
          <w:ilvl w:val="0"/>
          <w:numId w:val="1"/>
        </w:numPr>
        <w:spacing w:after="60" w:line="245"/>
      </w:pPr>
      <w:r>
        <w:rPr>
          <w:rFonts w:ascii="Calibri" w:cs="Calibri" w:eastAsia="Calibri" w:hAnsi="Calibri"/>
          <w:sz w:val="17"/>
          <w:szCs w:val="17"/>
        </w:rPr>
        <w:t xml:space="preserve">KBK-MIR-MP-PRO-MET-SOP-0049 and SOP-0058, received 11 Aug 2026</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received 11 Aug 2026</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SWI-PRO-MET-201-012  ·  Loaded and Barren Resin Sampling at Screens and Hoppers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