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Water Treatment Plant Feed and Discharge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SWI-PRO-MET-201-019</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JSEA-PRO-MET-201-019</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092 / 093 Water Treatment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ISSUED BUT NOT FOR USE. This document is a placeholder against the register line so the line is not empty. It cannot be used until the named input arrives - see the folder README for the blocker and what closes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feed and discharge quality across the water treatment plant.</w:t>
      </w:r>
    </w:p>
    <w:p>
      <w:pPr>
        <w:spacing w:after="60" w:before="0" w:line="245"/>
      </w:pPr>
      <w:r>
        <w:rPr>
          <w:rFonts w:ascii="Calibri" w:cs="Calibri" w:eastAsia="Calibri" w:hAnsi="Calibri"/>
          <w:sz w:val="17"/>
          <w:szCs w:val="17"/>
        </w:rPr>
        <w:t xml:space="preserve">Discharge quality carries the environmental licence obligation.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092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Water treatment plant No. 1 - feed and discharge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093</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Water treatment plant No. 2 - feed and discharge</w:t>
            </w:r>
          </w:p>
        </w:tc>
      </w:tr>
    </w:tbl>
    <w:p>
      <w:pPr>
        <w:spacing w:after="60" w:before="0" w:line="245"/>
      </w:pPr>
    </w:p>
    <w:p>
      <w:pPr>
        <w:spacing w:after="60" w:before="0" w:line="245"/>
      </w:pPr>
      <w:r>
        <w:rPr>
          <w:rFonts w:ascii="Calibri" w:cs="Calibri" w:eastAsia="Calibri" w:hAnsi="Calibri"/>
          <w:sz w:val="17"/>
          <w:szCs w:val="17"/>
        </w:rPr>
        <w:t xml:space="preserve">Frequency: To be set once the circuit narrative is available.</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SWI-PRO-MET-201-019 in HM-MMM-WHS-REG-XXX-R00-SWI-SWMS, tab SWI-MET. The matching hazard analysis is JSEA-PRO-MET-201-019.</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JSEA-PRO-MET-201-019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JSEA-PRO-MET-201-019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To be confirmed once the plant configuration is known</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This instruction cannot be completed. See the hold below.</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The document is issued so the register line is not empty, and is marked NOT FOR USE.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No source held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SWI-PRO-MET-201-019  ·  Water Treatment Plant Feed and Discharge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