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Sample Point Access, Isolation, Flushing and Housekeeping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SWI-PRO-MET-201-023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JSEA-PRO-MET-201-023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201 Plant Sampling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standard for how any sample point is approached, opened, flushed, closed and left.</w:t>
      </w:r>
    </w:p>
    <w:p>
      <w:pPr>
        <w:spacing w:after="60" w:before="0" w:line="245"/>
      </w:pPr>
      <w:r>
        <w:rPr>
          <w:rFonts w:ascii="Calibri" w:cs="Calibri" w:eastAsia="Calibri" w:hAnsi="Calibri"/>
          <w:sz w:val="17"/>
          <w:szCs w:val="17"/>
        </w:rPr>
        <w:t xml:space="preserve">This is the instruction that sits behind every other sampling task. Most sampling incidents are not about the analysis - they are about how the point was opened.</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All sample points</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Every point covered by the Area 201 instructions</w:t>
            </w:r>
          </w:p>
        </w:tc>
      </w:tr>
    </w:tbl>
    <w:p>
      <w:pPr>
        <w:spacing w:after="60" w:before="0" w:line="245"/>
      </w:pPr>
    </w:p>
    <w:p>
      <w:pPr>
        <w:spacing w:after="60" w:before="0" w:line="245"/>
      </w:pPr>
      <w:r>
        <w:rPr>
          <w:rFonts w:ascii="Calibri" w:cs="Calibri" w:eastAsia="Calibri" w:hAnsi="Calibri"/>
          <w:sz w:val="17"/>
          <w:szCs w:val="17"/>
        </w:rPr>
        <w:t xml:space="preserve">Frequency: Every time a sample point is used.</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SWI-PRO-MET-201-023 in HM-MMM-WHS-REG-XXX-R00-SWI-SWMS, tab SWI-MET. The matching hazard analysis is JSEA-PRO-MET-201-023.</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JSEA-PRO-MET-201-023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Release from a pressurised sample line, hose or fitting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Confirm the sample line is not blocked before opening. Open slowly and stand clear of the discharge path. Report any weeping fitting rather than tightening it under pressure.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Working alone in a cyanide area where a collapse would not be seen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Cyanide-area sampling is not done alone. Control room notified at the start and end of every round. Radio check-in at the interval set by the Shift Supervisor.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JSEA-PRO-MET-201-023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Process water hose or flushing connection at the point</w:t>
      </w:r>
    </w:p>
    <w:p>
      <w:pPr>
        <w:pStyle w:val="ListParagraph"/>
        <w:numPr>
          <w:ilvl w:val="0"/>
          <w:numId w:val="1"/>
        </w:numPr>
        <w:spacing w:after="60" w:line="245"/>
      </w:pPr>
      <w:r>
        <w:rPr>
          <w:rFonts w:ascii="Calibri" w:cs="Calibri" w:eastAsia="Calibri" w:hAnsi="Calibri"/>
          <w:sz w:val="17"/>
          <w:szCs w:val="17"/>
        </w:rPr>
        <w:t xml:space="preserve">Drain or catch container</w:t>
      </w:r>
    </w:p>
    <w:p>
      <w:pPr>
        <w:pStyle w:val="ListParagraph"/>
        <w:numPr>
          <w:ilvl w:val="0"/>
          <w:numId w:val="1"/>
        </w:numPr>
        <w:spacing w:after="60" w:line="245"/>
      </w:pPr>
      <w:r>
        <w:rPr>
          <w:rFonts w:ascii="Calibri" w:cs="Calibri" w:eastAsia="Calibri" w:hAnsi="Calibri"/>
          <w:sz w:val="17"/>
          <w:szCs w:val="17"/>
        </w:rPr>
        <w:t xml:space="preserve">Cleaning brush and rag</w:t>
      </w:r>
    </w:p>
    <w:p>
      <w:pPr>
        <w:pStyle w:val="ListParagraph"/>
        <w:numPr>
          <w:ilvl w:val="0"/>
          <w:numId w:val="1"/>
        </w:numPr>
        <w:spacing w:after="60" w:line="245"/>
      </w:pPr>
      <w:r>
        <w:rPr>
          <w:rFonts w:ascii="Calibri" w:cs="Calibri" w:eastAsia="Calibri" w:hAnsi="Calibri"/>
          <w:sz w:val="17"/>
          <w:szCs w:val="17"/>
        </w:rPr>
        <w:t xml:space="preserve">Spill kit</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Approach the point from upwind with the personal gas monitor on and reading clean.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Look at the point before touching it. A weeping fitting, a cracked hose or a missing handle is reported, not worked around.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Confirm the discharge path is clear and that you can see where the sample will go.</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Position the container FIRST, then open the valve slowly. Never open a valve and then reach for the container.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Flush the line for the stated period and discharge the flush to drain, not to the walkway.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Collect the sample with the body out of the spray path.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Close the valve fully and confirm the point is not weeping.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Where a point is blocked, do NOT rod it under pressure. Isolate, drain, and report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Wash down the point and the walkway. Recover any spilled slurry to the drain, not to the ground.</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Leave nothing at the point - no buckets, no hoses across the walkway, no containers on the grating.</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KBK-MIR-MP-PRO-MET-SOP-0047 Pengukuran Profil Lumpur Cyclone Over Flow, SOP-0048 leach tank sampling and profile and SOP-0049 resin tank sampling and profile - all received 11 Aug 2026, each carrying the sample point access and flushing steps for its own point</w:t>
      </w:r>
    </w:p>
    <w:p>
      <w:pPr>
        <w:pStyle w:val="ListParagraph"/>
        <w:numPr>
          <w:ilvl w:val="0"/>
          <w:numId w:val="1"/>
        </w:numPr>
        <w:spacing w:after="60" w:line="245"/>
      </w:pPr>
      <w:r>
        <w:rPr>
          <w:rFonts w:ascii="Calibri" w:cs="Calibri" w:eastAsia="Calibri" w:hAnsi="Calibri"/>
          <w:sz w:val="17"/>
          <w:szCs w:val="17"/>
        </w:rPr>
        <w:t xml:space="preserve">Mt. Morgan site sampling procedures 1 to 23 [LIVE] - common flushing and cleaning practice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SWI-PRO-MET-201-023  ·  Sample Point Access, Isolation, Flushing and Housekeeping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